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Layout w:type="fixed"/>
        <w:tblLook w:val="0000" w:firstRow="0" w:lastRow="0" w:firstColumn="0" w:lastColumn="0" w:noHBand="0" w:noVBand="0"/>
      </w:tblPr>
      <w:tblGrid>
        <w:gridCol w:w="9180"/>
      </w:tblGrid>
      <w:tr w:rsidR="0045661F" w:rsidRPr="00DD60E7" w14:paraId="4758B108" w14:textId="77777777" w:rsidTr="0028580D">
        <w:trPr>
          <w:cantSplit/>
          <w:trHeight w:val="1252"/>
        </w:trPr>
        <w:tc>
          <w:tcPr>
            <w:tcW w:w="9180" w:type="dxa"/>
          </w:tcPr>
          <w:p w14:paraId="52C76ACA" w14:textId="43404F04" w:rsidR="0045661F" w:rsidRPr="00DD60E7" w:rsidRDefault="00961222" w:rsidP="00DD60E7">
            <w:pPr>
              <w:spacing w:after="0"/>
              <w:outlineLvl w:val="0"/>
              <w:rPr>
                <w:sz w:val="2"/>
                <w:szCs w:val="2"/>
                <w:lang w:val="id-ID"/>
              </w:rPr>
            </w:pPr>
            <w:r w:rsidRPr="00DD60E7">
              <w:rPr>
                <w:noProof/>
              </w:rPr>
              <w:drawing>
                <wp:inline distT="0" distB="0" distL="0" distR="0" wp14:anchorId="66CD17A1" wp14:editId="190A8295">
                  <wp:extent cx="574548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1028700"/>
                          </a:xfrm>
                          <a:prstGeom prst="rect">
                            <a:avLst/>
                          </a:prstGeom>
                          <a:noFill/>
                          <a:ln>
                            <a:noFill/>
                          </a:ln>
                        </pic:spPr>
                      </pic:pic>
                    </a:graphicData>
                  </a:graphic>
                </wp:inline>
              </w:drawing>
            </w:r>
          </w:p>
        </w:tc>
      </w:tr>
    </w:tbl>
    <w:p w14:paraId="308C5E18" w14:textId="77777777" w:rsidR="00F051E6" w:rsidRPr="00DD60E7" w:rsidRDefault="0068158A" w:rsidP="00DD60E7">
      <w:pPr>
        <w:pStyle w:val="Title"/>
        <w:spacing w:after="0"/>
        <w:rPr>
          <w:i/>
        </w:rPr>
      </w:pPr>
      <w:r w:rsidRPr="00DD60E7">
        <w:rPr>
          <w:lang w:val="id"/>
        </w:rPr>
        <w:t xml:space="preserve">Pengaruh Struktur Modal, Profitabilitas, dan Ukuran Perusahaan terhadap </w:t>
      </w:r>
      <w:proofErr w:type="spellStart"/>
      <w:r w:rsidRPr="0068158A">
        <w:rPr>
          <w:i/>
          <w:iCs/>
          <w:lang w:val="id"/>
        </w:rPr>
        <w:t>Tax</w:t>
      </w:r>
      <w:proofErr w:type="spellEnd"/>
      <w:r w:rsidRPr="0068158A">
        <w:rPr>
          <w:i/>
          <w:iCs/>
          <w:lang w:val="id"/>
        </w:rPr>
        <w:t xml:space="preserve"> </w:t>
      </w:r>
      <w:proofErr w:type="spellStart"/>
      <w:r w:rsidRPr="0068158A">
        <w:rPr>
          <w:i/>
          <w:iCs/>
          <w:lang w:val="id"/>
        </w:rPr>
        <w:t>Avoidance</w:t>
      </w:r>
      <w:proofErr w:type="spellEnd"/>
      <w:r w:rsidRPr="00DD60E7">
        <w:rPr>
          <w:lang w:val="id"/>
        </w:rPr>
        <w:t xml:space="preserve"> pada Perusahaan Subsektor Properti dan </w:t>
      </w:r>
      <w:r w:rsidRPr="0068158A">
        <w:rPr>
          <w:i/>
          <w:iCs/>
          <w:lang w:val="id"/>
        </w:rPr>
        <w:t>Real Estate</w:t>
      </w:r>
      <w:r w:rsidRPr="00DD60E7">
        <w:rPr>
          <w:lang w:val="id"/>
        </w:rPr>
        <w:t xml:space="preserve"> yang Terdaftar di Bursa Efek Indonesia</w:t>
      </w:r>
    </w:p>
    <w:p w14:paraId="14027E90" w14:textId="722DEFAB" w:rsidR="00F051E6" w:rsidRPr="00DD60E7" w:rsidRDefault="00E634F5" w:rsidP="00DD60E7">
      <w:pPr>
        <w:pStyle w:val="AJARCDE-Authors"/>
        <w:spacing w:line="240" w:lineRule="auto"/>
        <w:rPr>
          <w:bCs/>
        </w:rPr>
      </w:pPr>
      <w:r w:rsidRPr="00DD60E7">
        <w:rPr>
          <w:bCs/>
          <w:lang w:val="id"/>
        </w:rPr>
        <w:t xml:space="preserve">Ghina Ayu </w:t>
      </w:r>
      <w:proofErr w:type="spellStart"/>
      <w:r w:rsidRPr="00DD60E7">
        <w:rPr>
          <w:bCs/>
          <w:lang w:val="id"/>
        </w:rPr>
        <w:t>Luthfi’ya</w:t>
      </w:r>
      <w:proofErr w:type="spellEnd"/>
      <w:r w:rsidR="00F051E6" w:rsidRPr="00DD60E7">
        <w:rPr>
          <w:bCs/>
          <w:vertAlign w:val="superscript"/>
        </w:rPr>
        <w:t>1*</w:t>
      </w:r>
      <w:r w:rsidR="00F739FF" w:rsidRPr="00F739FF">
        <w:rPr>
          <w:bCs/>
        </w:rPr>
        <w:t>,</w:t>
      </w:r>
      <w:r w:rsidR="00F739FF">
        <w:rPr>
          <w:bCs/>
          <w:vertAlign w:val="superscript"/>
        </w:rPr>
        <w:t xml:space="preserve"> </w:t>
      </w:r>
      <w:r w:rsidR="00F739FF" w:rsidRPr="00F739FF">
        <w:rPr>
          <w:bCs/>
          <w:lang w:val="id-ID"/>
        </w:rPr>
        <w:t>Umiaty Hamzani</w:t>
      </w:r>
      <w:r w:rsidR="00F739FF" w:rsidRPr="00F739FF">
        <w:rPr>
          <w:bCs/>
          <w:vertAlign w:val="superscript"/>
        </w:rPr>
        <w:t>2</w:t>
      </w:r>
      <w:r w:rsidR="00F739FF">
        <w:rPr>
          <w:bCs/>
        </w:rPr>
        <w:t xml:space="preserve"> dan</w:t>
      </w:r>
      <w:r w:rsidR="00F739FF" w:rsidRPr="00F739FF">
        <w:rPr>
          <w:bCs/>
        </w:rPr>
        <w:t xml:space="preserve"> Nina </w:t>
      </w:r>
      <w:proofErr w:type="spellStart"/>
      <w:r w:rsidR="00F739FF" w:rsidRPr="00F739FF">
        <w:rPr>
          <w:bCs/>
        </w:rPr>
        <w:t>Febriana</w:t>
      </w:r>
      <w:proofErr w:type="spellEnd"/>
      <w:r w:rsidR="00F739FF" w:rsidRPr="00F739FF">
        <w:rPr>
          <w:bCs/>
        </w:rPr>
        <w:t xml:space="preserve"> Dosinta</w:t>
      </w:r>
      <w:r w:rsidR="00F739FF" w:rsidRPr="00F739FF">
        <w:rPr>
          <w:bCs/>
          <w:vertAlign w:val="superscript"/>
        </w:rPr>
        <w:t>3</w:t>
      </w:r>
    </w:p>
    <w:p w14:paraId="3EBE047F" w14:textId="7453DA8E" w:rsidR="00F051E6" w:rsidRPr="00DD60E7" w:rsidRDefault="00F051E6" w:rsidP="00DD60E7">
      <w:pPr>
        <w:pStyle w:val="AJARCDE-Affiliation"/>
        <w:rPr>
          <w:lang w:val="id-ID"/>
        </w:rPr>
      </w:pPr>
      <w:r w:rsidRPr="00DD60E7">
        <w:rPr>
          <w:vertAlign w:val="superscript"/>
          <w:lang w:val="id-ID"/>
        </w:rPr>
        <w:t>1</w:t>
      </w:r>
      <w:r w:rsidRPr="00DD60E7">
        <w:rPr>
          <w:vertAlign w:val="superscript"/>
        </w:rPr>
        <w:t>,2</w:t>
      </w:r>
      <w:r w:rsidR="00222F99">
        <w:rPr>
          <w:vertAlign w:val="superscript"/>
        </w:rPr>
        <w:t xml:space="preserve">,3 </w:t>
      </w:r>
      <w:r w:rsidR="00E634F5" w:rsidRPr="00DD60E7">
        <w:rPr>
          <w:lang w:val="id"/>
        </w:rPr>
        <w:t xml:space="preserve">Universitas </w:t>
      </w:r>
      <w:proofErr w:type="spellStart"/>
      <w:r w:rsidR="00E634F5" w:rsidRPr="00DD60E7">
        <w:rPr>
          <w:lang w:val="id"/>
        </w:rPr>
        <w:t>Tanjungpura</w:t>
      </w:r>
      <w:proofErr w:type="spellEnd"/>
      <w:r w:rsidR="00E634F5" w:rsidRPr="00DD60E7">
        <w:rPr>
          <w:lang w:val="id"/>
        </w:rPr>
        <w:t xml:space="preserve"> Pontianak, Indonesia</w:t>
      </w:r>
    </w:p>
    <w:p w14:paraId="1ABF6018" w14:textId="77777777" w:rsidR="0045661F" w:rsidRPr="00DD60E7" w:rsidRDefault="002D0B61" w:rsidP="00DD60E7">
      <w:pPr>
        <w:spacing w:before="120" w:after="0"/>
        <w:jc w:val="right"/>
        <w:rPr>
          <w:sz w:val="16"/>
          <w:szCs w:val="16"/>
        </w:rPr>
      </w:pPr>
      <w:r w:rsidRPr="00DD60E7">
        <w:rPr>
          <w:i/>
          <w:color w:val="000000"/>
          <w:sz w:val="16"/>
          <w:szCs w:val="16"/>
        </w:rPr>
        <w:t xml:space="preserve">Journal of Economics and Management </w:t>
      </w:r>
      <w:proofErr w:type="spellStart"/>
      <w:r w:rsidRPr="00DD60E7">
        <w:rPr>
          <w:i/>
          <w:color w:val="000000"/>
          <w:sz w:val="16"/>
          <w:szCs w:val="16"/>
        </w:rPr>
        <w:t>Scienties</w:t>
      </w:r>
      <w:proofErr w:type="spellEnd"/>
      <w:r w:rsidRPr="00DD60E7">
        <w:rPr>
          <w:i/>
          <w:color w:val="000000"/>
          <w:sz w:val="16"/>
          <w:szCs w:val="16"/>
        </w:rPr>
        <w:t xml:space="preserve"> </w:t>
      </w:r>
      <w:r w:rsidR="0045661F" w:rsidRPr="00DD60E7">
        <w:rPr>
          <w:i/>
          <w:color w:val="000000"/>
          <w:sz w:val="16"/>
          <w:szCs w:val="16"/>
        </w:rPr>
        <w:t>is licensed under a Creative Commons 4.0 International License.</w:t>
      </w:r>
    </w:p>
    <w:p w14:paraId="3AD63809" w14:textId="04A57ACB" w:rsidR="0045661F" w:rsidRPr="00DD60E7" w:rsidRDefault="00961222" w:rsidP="00DD60E7">
      <w:pPr>
        <w:spacing w:after="0"/>
        <w:jc w:val="right"/>
      </w:pPr>
      <w:r w:rsidRPr="00DD60E7">
        <w:rPr>
          <w:noProof/>
        </w:rPr>
        <w:drawing>
          <wp:inline distT="0" distB="0" distL="0" distR="0" wp14:anchorId="65105720" wp14:editId="06D3C126">
            <wp:extent cx="762000" cy="144780"/>
            <wp:effectExtent l="0" t="0" r="0" b="0"/>
            <wp:docPr id="3" name="Picture 8"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tbl>
      <w:tblPr>
        <w:tblW w:w="9072" w:type="dxa"/>
        <w:tblInd w:w="108" w:type="dxa"/>
        <w:tblLook w:val="04A0" w:firstRow="1" w:lastRow="0" w:firstColumn="1" w:lastColumn="0" w:noHBand="0" w:noVBand="1"/>
      </w:tblPr>
      <w:tblGrid>
        <w:gridCol w:w="3402"/>
        <w:gridCol w:w="284"/>
        <w:gridCol w:w="5386"/>
      </w:tblGrid>
      <w:tr w:rsidR="002275AF" w:rsidRPr="00DD60E7" w14:paraId="3B7B6DD2" w14:textId="77777777" w:rsidTr="002275AF">
        <w:trPr>
          <w:trHeight w:val="348"/>
        </w:trPr>
        <w:tc>
          <w:tcPr>
            <w:tcW w:w="3402" w:type="dxa"/>
            <w:tcBorders>
              <w:top w:val="single" w:sz="2" w:space="0" w:color="auto"/>
            </w:tcBorders>
            <w:shd w:val="clear" w:color="auto" w:fill="F2F2F2"/>
            <w:vAlign w:val="center"/>
          </w:tcPr>
          <w:p w14:paraId="47307767" w14:textId="77777777" w:rsidR="002275AF" w:rsidRPr="00DD60E7" w:rsidRDefault="002275AF" w:rsidP="002275AF">
            <w:pPr>
              <w:spacing w:after="0"/>
              <w:jc w:val="left"/>
              <w:rPr>
                <w:b/>
                <w:smallCaps/>
                <w:szCs w:val="20"/>
              </w:rPr>
            </w:pPr>
            <w:r w:rsidRPr="00DD60E7">
              <w:rPr>
                <w:b/>
                <w:smallCaps/>
                <w:szCs w:val="20"/>
              </w:rPr>
              <w:t>ARTICLE HISTORY</w:t>
            </w:r>
          </w:p>
        </w:tc>
        <w:tc>
          <w:tcPr>
            <w:tcW w:w="284" w:type="dxa"/>
            <w:vMerge w:val="restart"/>
            <w:tcBorders>
              <w:top w:val="single" w:sz="2" w:space="0" w:color="auto"/>
            </w:tcBorders>
            <w:shd w:val="clear" w:color="auto" w:fill="auto"/>
          </w:tcPr>
          <w:p w14:paraId="296184DC" w14:textId="77777777" w:rsidR="002275AF" w:rsidRPr="00DD60E7" w:rsidRDefault="002275AF" w:rsidP="002275AF">
            <w:pPr>
              <w:spacing w:after="120"/>
              <w:jc w:val="left"/>
            </w:pPr>
          </w:p>
        </w:tc>
        <w:tc>
          <w:tcPr>
            <w:tcW w:w="5386" w:type="dxa"/>
            <w:tcBorders>
              <w:top w:val="single" w:sz="2" w:space="0" w:color="auto"/>
            </w:tcBorders>
            <w:shd w:val="clear" w:color="auto" w:fill="F2F2F2"/>
            <w:vAlign w:val="center"/>
          </w:tcPr>
          <w:p w14:paraId="1D32A89E" w14:textId="25B3470B" w:rsidR="002275AF" w:rsidRPr="00DD60E7" w:rsidRDefault="002275AF" w:rsidP="002275AF">
            <w:pPr>
              <w:spacing w:after="0"/>
              <w:jc w:val="left"/>
              <w:rPr>
                <w:b/>
                <w:bCs/>
                <w:spacing w:val="100"/>
                <w:szCs w:val="20"/>
              </w:rPr>
            </w:pPr>
            <w:r w:rsidRPr="00754EA6">
              <w:rPr>
                <w:b/>
                <w:bCs/>
                <w:spacing w:val="100"/>
                <w:szCs w:val="20"/>
              </w:rPr>
              <w:t>ABSTRACT</w:t>
            </w:r>
          </w:p>
        </w:tc>
      </w:tr>
      <w:tr w:rsidR="002275AF" w:rsidRPr="00DD60E7" w14:paraId="7A777CB4" w14:textId="77777777" w:rsidTr="00666FC1">
        <w:trPr>
          <w:trHeight w:val="940"/>
        </w:trPr>
        <w:tc>
          <w:tcPr>
            <w:tcW w:w="3402" w:type="dxa"/>
            <w:shd w:val="clear" w:color="auto" w:fill="auto"/>
          </w:tcPr>
          <w:p w14:paraId="0930E284" w14:textId="4DC88D17" w:rsidR="002275AF" w:rsidRPr="004C7DDA" w:rsidRDefault="002275AF" w:rsidP="002275AF">
            <w:pPr>
              <w:spacing w:after="0"/>
              <w:rPr>
                <w:szCs w:val="20"/>
              </w:rPr>
            </w:pPr>
            <w:r w:rsidRPr="004C7DDA">
              <w:rPr>
                <w:szCs w:val="20"/>
              </w:rPr>
              <w:t xml:space="preserve">Received: </w:t>
            </w:r>
            <w:r>
              <w:rPr>
                <w:szCs w:val="20"/>
              </w:rPr>
              <w:t>22</w:t>
            </w:r>
            <w:r w:rsidRPr="004C7DDA">
              <w:rPr>
                <w:szCs w:val="20"/>
              </w:rPr>
              <w:t xml:space="preserve"> </w:t>
            </w:r>
            <w:r>
              <w:rPr>
                <w:szCs w:val="20"/>
              </w:rPr>
              <w:t>May</w:t>
            </w:r>
            <w:r w:rsidRPr="004C7DDA">
              <w:rPr>
                <w:szCs w:val="20"/>
              </w:rPr>
              <w:t xml:space="preserve"> </w:t>
            </w:r>
            <w:r>
              <w:rPr>
                <w:szCs w:val="20"/>
              </w:rPr>
              <w:t>25</w:t>
            </w:r>
          </w:p>
          <w:p w14:paraId="336E9189" w14:textId="0E1E3FFA" w:rsidR="002275AF" w:rsidRPr="004C7DDA" w:rsidRDefault="002275AF" w:rsidP="002275AF">
            <w:pPr>
              <w:spacing w:after="0"/>
              <w:jc w:val="left"/>
              <w:rPr>
                <w:szCs w:val="20"/>
              </w:rPr>
            </w:pPr>
            <w:r w:rsidRPr="004C7DDA">
              <w:rPr>
                <w:szCs w:val="20"/>
              </w:rPr>
              <w:t xml:space="preserve">Final Revision: </w:t>
            </w:r>
            <w:r w:rsidR="003F0EC6">
              <w:rPr>
                <w:szCs w:val="20"/>
              </w:rPr>
              <w:t>27</w:t>
            </w:r>
            <w:r w:rsidRPr="004C7DDA">
              <w:rPr>
                <w:szCs w:val="20"/>
              </w:rPr>
              <w:t xml:space="preserve"> </w:t>
            </w:r>
            <w:r w:rsidR="003F0EC6">
              <w:rPr>
                <w:szCs w:val="20"/>
              </w:rPr>
              <w:t>May</w:t>
            </w:r>
            <w:r w:rsidRPr="004C7DDA">
              <w:rPr>
                <w:szCs w:val="20"/>
              </w:rPr>
              <w:t xml:space="preserve"> </w:t>
            </w:r>
            <w:r w:rsidR="003F0EC6">
              <w:rPr>
                <w:szCs w:val="20"/>
              </w:rPr>
              <w:t>25</w:t>
            </w:r>
          </w:p>
          <w:p w14:paraId="33D1F55C" w14:textId="0351F7A8" w:rsidR="002275AF" w:rsidRPr="004C7DDA" w:rsidRDefault="002275AF" w:rsidP="002275AF">
            <w:pPr>
              <w:spacing w:after="0"/>
              <w:jc w:val="left"/>
              <w:rPr>
                <w:szCs w:val="20"/>
              </w:rPr>
            </w:pPr>
            <w:r w:rsidRPr="004C7DDA">
              <w:rPr>
                <w:szCs w:val="20"/>
              </w:rPr>
              <w:t xml:space="preserve">Accepted: </w:t>
            </w:r>
            <w:r w:rsidR="003F0EC6">
              <w:rPr>
                <w:szCs w:val="20"/>
              </w:rPr>
              <w:t>29 May 25</w:t>
            </w:r>
          </w:p>
          <w:p w14:paraId="18BE93EE" w14:textId="73877886" w:rsidR="002275AF" w:rsidRPr="004C7DDA" w:rsidRDefault="002275AF" w:rsidP="002275AF">
            <w:pPr>
              <w:spacing w:after="120"/>
              <w:rPr>
                <w:szCs w:val="20"/>
              </w:rPr>
            </w:pPr>
            <w:r w:rsidRPr="004C7DDA">
              <w:rPr>
                <w:szCs w:val="20"/>
              </w:rPr>
              <w:t xml:space="preserve">Online Publication: </w:t>
            </w:r>
            <w:r>
              <w:rPr>
                <w:szCs w:val="20"/>
              </w:rPr>
              <w:t>30 June 25</w:t>
            </w:r>
          </w:p>
        </w:tc>
        <w:tc>
          <w:tcPr>
            <w:tcW w:w="284" w:type="dxa"/>
            <w:vMerge/>
            <w:shd w:val="clear" w:color="auto" w:fill="auto"/>
          </w:tcPr>
          <w:p w14:paraId="623DCC34" w14:textId="77777777" w:rsidR="002275AF" w:rsidRPr="004C7DDA" w:rsidRDefault="002275AF" w:rsidP="002275AF">
            <w:pPr>
              <w:spacing w:after="120"/>
              <w:rPr>
                <w:szCs w:val="20"/>
              </w:rPr>
            </w:pPr>
          </w:p>
        </w:tc>
        <w:tc>
          <w:tcPr>
            <w:tcW w:w="5386" w:type="dxa"/>
            <w:vMerge w:val="restart"/>
            <w:shd w:val="clear" w:color="auto" w:fill="auto"/>
          </w:tcPr>
          <w:p w14:paraId="77CFD050" w14:textId="77777777" w:rsidR="002275AF" w:rsidRPr="004C7DDA" w:rsidRDefault="002275AF" w:rsidP="002275AF">
            <w:pPr>
              <w:pStyle w:val="AJARCDE-Abstract"/>
              <w:spacing w:before="0" w:line="240" w:lineRule="auto"/>
              <w:ind w:right="-108"/>
              <w:rPr>
                <w:szCs w:val="16"/>
              </w:rPr>
            </w:pPr>
            <w:r w:rsidRPr="004C7DDA">
              <w:rPr>
                <w:szCs w:val="16"/>
              </w:rPr>
              <w:t xml:space="preserve">This study examines the influence of capital structure, profitability, and firm size on tax avoidance practices among property and real estate companies listed on the Indonesia Stock Exchange (BEI) from 2018 to 2024, employing a quantitative approach with panel data regression analysis. The results indicate that capital structure has no significant effect on tax avoidance, consistent with the Trade-Off Theory, while profitability and firm size demonstrate positive and significant influences, aligning with the Agency Theory and Political Cost Theory. More profitable and larger firms tend to engage in legal tax avoidance through efficient tax planning strategies. The findings suggest that management should not rely solely on debt financing for tax efficiency, but must also consider financial risk management, operational sustainability, and regulatory compliance. Highly profitable companies are advised to maintain transparency and ethical standards to avoid negative perceptions from investors and tax authorities. Meanwhile, large corporations need to balance tax efficiency with transparent financial reporting to ensure legal compliance. For regulators, this research underscores the importance of strengthening oversight and updating tax regulations, particularly for companies with complex financial reporting systems, to minimize potential loopholes. Investors are encouraged to exercise greater scrutiny when analyzing financial statements by monitoring indicators such as the Effective Tax Rate and book-tax differences as potential signals of tax </w:t>
            </w:r>
            <w:proofErr w:type="spellStart"/>
            <w:proofErr w:type="gramStart"/>
            <w:r w:rsidRPr="004C7DDA">
              <w:rPr>
                <w:szCs w:val="16"/>
              </w:rPr>
              <w:t>avoidance.Thus</w:t>
            </w:r>
            <w:proofErr w:type="spellEnd"/>
            <w:proofErr w:type="gramEnd"/>
            <w:r w:rsidRPr="004C7DDA">
              <w:rPr>
                <w:szCs w:val="16"/>
              </w:rPr>
              <w:t>, this study provides empirical contributions to corporate financial decision-making and the development of more effective tax policies.</w:t>
            </w:r>
          </w:p>
        </w:tc>
      </w:tr>
      <w:tr w:rsidR="002275AF" w:rsidRPr="00DD60E7" w14:paraId="1C4A1CF7" w14:textId="77777777" w:rsidTr="00666FC1">
        <w:trPr>
          <w:trHeight w:val="348"/>
        </w:trPr>
        <w:tc>
          <w:tcPr>
            <w:tcW w:w="3402" w:type="dxa"/>
            <w:shd w:val="clear" w:color="auto" w:fill="F2F2F2"/>
            <w:vAlign w:val="center"/>
          </w:tcPr>
          <w:p w14:paraId="54F7F81B" w14:textId="77777777" w:rsidR="002275AF" w:rsidRPr="004C7DDA" w:rsidRDefault="002275AF" w:rsidP="002275AF">
            <w:pPr>
              <w:spacing w:after="0"/>
              <w:jc w:val="left"/>
              <w:rPr>
                <w:b/>
                <w:smallCaps/>
                <w:szCs w:val="20"/>
              </w:rPr>
            </w:pPr>
            <w:r w:rsidRPr="004C7DDA">
              <w:rPr>
                <w:b/>
                <w:smallCaps/>
                <w:szCs w:val="20"/>
              </w:rPr>
              <w:t>KEYWORDS</w:t>
            </w:r>
          </w:p>
        </w:tc>
        <w:tc>
          <w:tcPr>
            <w:tcW w:w="284" w:type="dxa"/>
            <w:vMerge/>
            <w:shd w:val="clear" w:color="auto" w:fill="auto"/>
            <w:vAlign w:val="bottom"/>
          </w:tcPr>
          <w:p w14:paraId="47F6013E" w14:textId="77777777" w:rsidR="002275AF" w:rsidRPr="004C7DDA" w:rsidRDefault="002275AF" w:rsidP="002275AF">
            <w:pPr>
              <w:spacing w:after="0"/>
              <w:jc w:val="left"/>
            </w:pPr>
          </w:p>
        </w:tc>
        <w:tc>
          <w:tcPr>
            <w:tcW w:w="5386" w:type="dxa"/>
            <w:vMerge/>
            <w:shd w:val="clear" w:color="auto" w:fill="auto"/>
            <w:vAlign w:val="bottom"/>
          </w:tcPr>
          <w:p w14:paraId="439A94C5" w14:textId="77777777" w:rsidR="002275AF" w:rsidRPr="004C7DDA" w:rsidRDefault="002275AF" w:rsidP="002275AF">
            <w:pPr>
              <w:spacing w:after="0"/>
              <w:jc w:val="left"/>
            </w:pPr>
          </w:p>
        </w:tc>
      </w:tr>
      <w:tr w:rsidR="002275AF" w:rsidRPr="00DD60E7" w14:paraId="3411B4DF" w14:textId="77777777" w:rsidTr="006E31C2">
        <w:trPr>
          <w:trHeight w:val="288"/>
        </w:trPr>
        <w:tc>
          <w:tcPr>
            <w:tcW w:w="3402" w:type="dxa"/>
            <w:shd w:val="clear" w:color="auto" w:fill="auto"/>
          </w:tcPr>
          <w:p w14:paraId="6245E993" w14:textId="40108C1C" w:rsidR="002275AF" w:rsidRPr="004C7DDA" w:rsidRDefault="002275AF" w:rsidP="002275AF">
            <w:pPr>
              <w:spacing w:after="120"/>
              <w:jc w:val="left"/>
            </w:pPr>
            <w:r w:rsidRPr="004C7DDA">
              <w:t>Capital Structure, Profitability, Firm Size, Tax Avoidance, The Property and Real Estate Sector</w:t>
            </w:r>
          </w:p>
        </w:tc>
        <w:tc>
          <w:tcPr>
            <w:tcW w:w="284" w:type="dxa"/>
            <w:vMerge/>
            <w:shd w:val="clear" w:color="auto" w:fill="auto"/>
            <w:vAlign w:val="center"/>
          </w:tcPr>
          <w:p w14:paraId="2F1E8EEF" w14:textId="77777777" w:rsidR="002275AF" w:rsidRPr="004C7DDA" w:rsidRDefault="002275AF" w:rsidP="002275AF">
            <w:pPr>
              <w:spacing w:after="120"/>
              <w:jc w:val="left"/>
            </w:pPr>
          </w:p>
        </w:tc>
        <w:tc>
          <w:tcPr>
            <w:tcW w:w="5386" w:type="dxa"/>
            <w:vMerge/>
            <w:shd w:val="clear" w:color="auto" w:fill="auto"/>
            <w:vAlign w:val="center"/>
          </w:tcPr>
          <w:p w14:paraId="425E3B32" w14:textId="77777777" w:rsidR="002275AF" w:rsidRPr="004C7DDA" w:rsidRDefault="002275AF" w:rsidP="002275AF">
            <w:pPr>
              <w:spacing w:after="120"/>
              <w:jc w:val="left"/>
            </w:pPr>
          </w:p>
        </w:tc>
      </w:tr>
      <w:tr w:rsidR="002275AF" w:rsidRPr="00DD60E7" w14:paraId="7E7D9637" w14:textId="77777777" w:rsidTr="00666FC1">
        <w:trPr>
          <w:trHeight w:val="288"/>
        </w:trPr>
        <w:tc>
          <w:tcPr>
            <w:tcW w:w="3402" w:type="dxa"/>
            <w:shd w:val="clear" w:color="auto" w:fill="F2F2F2"/>
            <w:vAlign w:val="center"/>
          </w:tcPr>
          <w:p w14:paraId="2654A255" w14:textId="77777777" w:rsidR="002275AF" w:rsidRPr="00DD60E7" w:rsidRDefault="002275AF" w:rsidP="002275AF">
            <w:pPr>
              <w:spacing w:after="0"/>
              <w:jc w:val="left"/>
              <w:rPr>
                <w:b/>
                <w:smallCaps/>
                <w:szCs w:val="20"/>
              </w:rPr>
            </w:pPr>
            <w:r w:rsidRPr="00DD60E7">
              <w:rPr>
                <w:b/>
                <w:smallCaps/>
                <w:szCs w:val="20"/>
              </w:rPr>
              <w:t>KATA KUNCI</w:t>
            </w:r>
          </w:p>
        </w:tc>
        <w:tc>
          <w:tcPr>
            <w:tcW w:w="284" w:type="dxa"/>
            <w:vMerge/>
            <w:shd w:val="clear" w:color="auto" w:fill="auto"/>
            <w:vAlign w:val="center"/>
          </w:tcPr>
          <w:p w14:paraId="17E4701F" w14:textId="77777777" w:rsidR="002275AF" w:rsidRPr="00DD60E7" w:rsidRDefault="002275AF" w:rsidP="002275AF">
            <w:pPr>
              <w:spacing w:after="120"/>
              <w:jc w:val="left"/>
            </w:pPr>
          </w:p>
        </w:tc>
        <w:tc>
          <w:tcPr>
            <w:tcW w:w="5386" w:type="dxa"/>
            <w:shd w:val="clear" w:color="auto" w:fill="F2F2F2"/>
            <w:vAlign w:val="center"/>
          </w:tcPr>
          <w:p w14:paraId="31AE158D" w14:textId="77777777" w:rsidR="002275AF" w:rsidRPr="00DD60E7" w:rsidRDefault="002275AF" w:rsidP="002275AF">
            <w:pPr>
              <w:spacing w:after="0"/>
              <w:jc w:val="left"/>
              <w:rPr>
                <w:b/>
                <w:bCs/>
                <w:spacing w:val="100"/>
                <w:szCs w:val="20"/>
              </w:rPr>
            </w:pPr>
            <w:r w:rsidRPr="00DD60E7">
              <w:rPr>
                <w:b/>
                <w:bCs/>
                <w:spacing w:val="100"/>
                <w:szCs w:val="20"/>
              </w:rPr>
              <w:t>ABSTRAK</w:t>
            </w:r>
          </w:p>
        </w:tc>
      </w:tr>
      <w:tr w:rsidR="002275AF" w:rsidRPr="00DD60E7" w14:paraId="73A988FA" w14:textId="77777777" w:rsidTr="006E31C2">
        <w:trPr>
          <w:trHeight w:val="288"/>
        </w:trPr>
        <w:tc>
          <w:tcPr>
            <w:tcW w:w="3402" w:type="dxa"/>
            <w:shd w:val="clear" w:color="auto" w:fill="auto"/>
          </w:tcPr>
          <w:p w14:paraId="32F8AD93" w14:textId="22E88943" w:rsidR="002275AF" w:rsidRPr="004C7DDA" w:rsidRDefault="002275AF" w:rsidP="002275AF">
            <w:pPr>
              <w:spacing w:after="120"/>
              <w:jc w:val="left"/>
              <w:rPr>
                <w:lang w:val="id-ID"/>
              </w:rPr>
            </w:pPr>
            <w:r w:rsidRPr="004C7DDA">
              <w:rPr>
                <w:lang w:val="id-ID"/>
              </w:rPr>
              <w:t xml:space="preserve">Struktur Modal, Profitabilitas, Ukuran Perusahaan, </w:t>
            </w:r>
            <w:proofErr w:type="spellStart"/>
            <w:r w:rsidRPr="004C7DDA">
              <w:rPr>
                <w:i/>
                <w:lang w:val="id-ID"/>
              </w:rPr>
              <w:t>Tax</w:t>
            </w:r>
            <w:proofErr w:type="spellEnd"/>
            <w:r w:rsidRPr="004C7DDA">
              <w:rPr>
                <w:i/>
                <w:lang w:val="id-ID"/>
              </w:rPr>
              <w:t xml:space="preserve"> </w:t>
            </w:r>
            <w:proofErr w:type="spellStart"/>
            <w:r w:rsidRPr="004C7DDA">
              <w:rPr>
                <w:i/>
                <w:lang w:val="id-ID"/>
              </w:rPr>
              <w:t>Avoidance</w:t>
            </w:r>
            <w:proofErr w:type="spellEnd"/>
            <w:r w:rsidR="00C640F9">
              <w:rPr>
                <w:i/>
              </w:rPr>
              <w:t xml:space="preserve">, </w:t>
            </w:r>
            <w:r w:rsidRPr="004C7DDA">
              <w:rPr>
                <w:lang w:val="id-ID"/>
              </w:rPr>
              <w:t>Sektor Properti dan Real Estate</w:t>
            </w:r>
          </w:p>
        </w:tc>
        <w:tc>
          <w:tcPr>
            <w:tcW w:w="284" w:type="dxa"/>
            <w:vMerge/>
            <w:shd w:val="clear" w:color="auto" w:fill="auto"/>
            <w:vAlign w:val="center"/>
          </w:tcPr>
          <w:p w14:paraId="0927A1F8" w14:textId="77777777" w:rsidR="002275AF" w:rsidRPr="004C7DDA" w:rsidRDefault="002275AF" w:rsidP="002275AF">
            <w:pPr>
              <w:spacing w:after="120"/>
              <w:jc w:val="left"/>
              <w:rPr>
                <w:lang w:val="id-ID"/>
              </w:rPr>
            </w:pPr>
          </w:p>
        </w:tc>
        <w:tc>
          <w:tcPr>
            <w:tcW w:w="5386" w:type="dxa"/>
            <w:vMerge w:val="restart"/>
            <w:shd w:val="clear" w:color="auto" w:fill="auto"/>
          </w:tcPr>
          <w:p w14:paraId="507D5819" w14:textId="51EE6ABD" w:rsidR="002275AF" w:rsidRPr="004C7DDA" w:rsidRDefault="002275AF" w:rsidP="002275AF">
            <w:pPr>
              <w:spacing w:after="120"/>
              <w:ind w:right="-108"/>
              <w:rPr>
                <w:sz w:val="16"/>
                <w:szCs w:val="16"/>
                <w:lang w:val="id-ID"/>
              </w:rPr>
            </w:pPr>
            <w:r w:rsidRPr="004C7DDA">
              <w:rPr>
                <w:sz w:val="16"/>
                <w:szCs w:val="16"/>
                <w:lang w:val="id-ID"/>
              </w:rPr>
              <w:t>Penelitian ini menganalisis pengaruh struktur modal, profitabilitas, dan ukuran perusahaan terhadap </w:t>
            </w:r>
            <w:proofErr w:type="spellStart"/>
            <w:r w:rsidRPr="004C7DDA">
              <w:rPr>
                <w:i/>
                <w:iCs/>
                <w:sz w:val="16"/>
                <w:szCs w:val="16"/>
                <w:lang w:val="id-ID"/>
              </w:rPr>
              <w:t>tax</w:t>
            </w:r>
            <w:proofErr w:type="spellEnd"/>
            <w:r w:rsidRPr="004C7DDA">
              <w:rPr>
                <w:i/>
                <w:iCs/>
                <w:sz w:val="16"/>
                <w:szCs w:val="16"/>
                <w:lang w:val="id-ID"/>
              </w:rPr>
              <w:t xml:space="preserve"> </w:t>
            </w:r>
            <w:proofErr w:type="spellStart"/>
            <w:r w:rsidRPr="004C7DDA">
              <w:rPr>
                <w:i/>
                <w:iCs/>
                <w:sz w:val="16"/>
                <w:szCs w:val="16"/>
                <w:lang w:val="id-ID"/>
              </w:rPr>
              <w:t>avoidance</w:t>
            </w:r>
            <w:proofErr w:type="spellEnd"/>
            <w:r w:rsidRPr="004C7DDA">
              <w:rPr>
                <w:sz w:val="16"/>
                <w:szCs w:val="16"/>
                <w:lang w:val="id-ID"/>
              </w:rPr>
              <w:t xml:space="preserve"> pada perusahaan properti dan real </w:t>
            </w:r>
            <w:proofErr w:type="spellStart"/>
            <w:r w:rsidRPr="004C7DDA">
              <w:rPr>
                <w:sz w:val="16"/>
                <w:szCs w:val="16"/>
                <w:lang w:val="id-ID"/>
              </w:rPr>
              <w:t>estate</w:t>
            </w:r>
            <w:proofErr w:type="spellEnd"/>
            <w:r w:rsidRPr="004C7DDA">
              <w:rPr>
                <w:sz w:val="16"/>
                <w:szCs w:val="16"/>
                <w:lang w:val="id-ID"/>
              </w:rPr>
              <w:t xml:space="preserve"> di Bursa Efek Indonesia (BEI) tahun 2018 sampai 2024 menggunakan pendekatan kuantitatif dengan regresi data panel. Hasilnya menunjukkan bahwa struktur modal tidak berpengaruh signifikan terhadap </w:t>
            </w:r>
            <w:proofErr w:type="spellStart"/>
            <w:r w:rsidRPr="004C7DDA">
              <w:rPr>
                <w:i/>
                <w:iCs/>
                <w:sz w:val="16"/>
                <w:szCs w:val="16"/>
                <w:lang w:val="id-ID"/>
              </w:rPr>
              <w:t>tax</w:t>
            </w:r>
            <w:proofErr w:type="spellEnd"/>
            <w:r w:rsidRPr="004C7DDA">
              <w:rPr>
                <w:i/>
                <w:iCs/>
                <w:sz w:val="16"/>
                <w:szCs w:val="16"/>
                <w:lang w:val="id-ID"/>
              </w:rPr>
              <w:t xml:space="preserve"> </w:t>
            </w:r>
            <w:proofErr w:type="spellStart"/>
            <w:r w:rsidRPr="004C7DDA">
              <w:rPr>
                <w:i/>
                <w:iCs/>
                <w:sz w:val="16"/>
                <w:szCs w:val="16"/>
                <w:lang w:val="id-ID"/>
              </w:rPr>
              <w:t>avoidance</w:t>
            </w:r>
            <w:proofErr w:type="spellEnd"/>
            <w:r w:rsidRPr="004C7DDA">
              <w:rPr>
                <w:sz w:val="16"/>
                <w:szCs w:val="16"/>
                <w:lang w:val="id-ID"/>
              </w:rPr>
              <w:t>, sesuai </w:t>
            </w:r>
            <w:r w:rsidRPr="004C7DDA">
              <w:rPr>
                <w:i/>
                <w:iCs/>
                <w:sz w:val="16"/>
                <w:szCs w:val="16"/>
                <w:lang w:val="id-ID"/>
              </w:rPr>
              <w:t>Trade-</w:t>
            </w:r>
            <w:proofErr w:type="spellStart"/>
            <w:r w:rsidRPr="004C7DDA">
              <w:rPr>
                <w:i/>
                <w:iCs/>
                <w:sz w:val="16"/>
                <w:szCs w:val="16"/>
                <w:lang w:val="id-ID"/>
              </w:rPr>
              <w:t>Off</w:t>
            </w:r>
            <w:proofErr w:type="spellEnd"/>
            <w:r w:rsidRPr="004C7DDA">
              <w:rPr>
                <w:i/>
                <w:iCs/>
                <w:sz w:val="16"/>
                <w:szCs w:val="16"/>
                <w:lang w:val="id-ID"/>
              </w:rPr>
              <w:t xml:space="preserve"> </w:t>
            </w:r>
            <w:proofErr w:type="spellStart"/>
            <w:r w:rsidRPr="004C7DDA">
              <w:rPr>
                <w:i/>
                <w:iCs/>
                <w:sz w:val="16"/>
                <w:szCs w:val="16"/>
                <w:lang w:val="id-ID"/>
              </w:rPr>
              <w:t>Theory</w:t>
            </w:r>
            <w:proofErr w:type="spellEnd"/>
            <w:r w:rsidRPr="004C7DDA">
              <w:rPr>
                <w:sz w:val="16"/>
                <w:szCs w:val="16"/>
                <w:lang w:val="id-ID"/>
              </w:rPr>
              <w:t>, sementara profitabilitas dan ukuran perusahaan berpengaruh positif dan signifikan, sejalan dengan </w:t>
            </w:r>
            <w:proofErr w:type="spellStart"/>
            <w:r w:rsidRPr="004C7DDA">
              <w:rPr>
                <w:i/>
                <w:iCs/>
                <w:sz w:val="16"/>
                <w:szCs w:val="16"/>
                <w:lang w:val="id-ID"/>
              </w:rPr>
              <w:t>Agency</w:t>
            </w:r>
            <w:proofErr w:type="spellEnd"/>
            <w:r w:rsidRPr="004C7DDA">
              <w:rPr>
                <w:i/>
                <w:iCs/>
                <w:sz w:val="16"/>
                <w:szCs w:val="16"/>
                <w:lang w:val="id-ID"/>
              </w:rPr>
              <w:t xml:space="preserve"> </w:t>
            </w:r>
            <w:proofErr w:type="spellStart"/>
            <w:r w:rsidRPr="004C7DDA">
              <w:rPr>
                <w:i/>
                <w:iCs/>
                <w:sz w:val="16"/>
                <w:szCs w:val="16"/>
                <w:lang w:val="id-ID"/>
              </w:rPr>
              <w:t>Theory</w:t>
            </w:r>
            <w:proofErr w:type="spellEnd"/>
            <w:r w:rsidRPr="004C7DDA">
              <w:rPr>
                <w:sz w:val="16"/>
                <w:szCs w:val="16"/>
                <w:lang w:val="id-ID"/>
              </w:rPr>
              <w:t> dan </w:t>
            </w:r>
            <w:proofErr w:type="spellStart"/>
            <w:r w:rsidRPr="004C7DDA">
              <w:rPr>
                <w:i/>
                <w:iCs/>
                <w:sz w:val="16"/>
                <w:szCs w:val="16"/>
                <w:lang w:val="id-ID"/>
              </w:rPr>
              <w:t>Political</w:t>
            </w:r>
            <w:proofErr w:type="spellEnd"/>
            <w:r w:rsidRPr="004C7DDA">
              <w:rPr>
                <w:i/>
                <w:iCs/>
                <w:sz w:val="16"/>
                <w:szCs w:val="16"/>
                <w:lang w:val="id-ID"/>
              </w:rPr>
              <w:t xml:space="preserve"> </w:t>
            </w:r>
            <w:proofErr w:type="spellStart"/>
            <w:r w:rsidRPr="004C7DDA">
              <w:rPr>
                <w:i/>
                <w:iCs/>
                <w:sz w:val="16"/>
                <w:szCs w:val="16"/>
                <w:lang w:val="id-ID"/>
              </w:rPr>
              <w:t>Cost</w:t>
            </w:r>
            <w:proofErr w:type="spellEnd"/>
            <w:r w:rsidRPr="004C7DDA">
              <w:rPr>
                <w:i/>
                <w:iCs/>
                <w:sz w:val="16"/>
                <w:szCs w:val="16"/>
                <w:lang w:val="id-ID"/>
              </w:rPr>
              <w:t xml:space="preserve"> </w:t>
            </w:r>
            <w:proofErr w:type="spellStart"/>
            <w:r w:rsidRPr="004C7DDA">
              <w:rPr>
                <w:i/>
                <w:iCs/>
                <w:sz w:val="16"/>
                <w:szCs w:val="16"/>
                <w:lang w:val="id-ID"/>
              </w:rPr>
              <w:t>Theory</w:t>
            </w:r>
            <w:proofErr w:type="spellEnd"/>
            <w:r w:rsidRPr="004C7DDA">
              <w:rPr>
                <w:sz w:val="16"/>
                <w:szCs w:val="16"/>
                <w:lang w:val="id-ID"/>
              </w:rPr>
              <w:t>. Perusahaan yang lebih profitabel dan besar cenderung melakukan </w:t>
            </w:r>
            <w:proofErr w:type="spellStart"/>
            <w:r w:rsidRPr="004C7DDA">
              <w:rPr>
                <w:i/>
                <w:iCs/>
                <w:sz w:val="16"/>
                <w:szCs w:val="16"/>
                <w:lang w:val="id-ID"/>
              </w:rPr>
              <w:t>tax</w:t>
            </w:r>
            <w:proofErr w:type="spellEnd"/>
            <w:r w:rsidRPr="004C7DDA">
              <w:rPr>
                <w:i/>
                <w:iCs/>
                <w:sz w:val="16"/>
                <w:szCs w:val="16"/>
                <w:lang w:val="id-ID"/>
              </w:rPr>
              <w:t xml:space="preserve"> </w:t>
            </w:r>
            <w:proofErr w:type="spellStart"/>
            <w:r w:rsidRPr="004C7DDA">
              <w:rPr>
                <w:i/>
                <w:iCs/>
                <w:sz w:val="16"/>
                <w:szCs w:val="16"/>
                <w:lang w:val="id-ID"/>
              </w:rPr>
              <w:t>avoidance</w:t>
            </w:r>
            <w:proofErr w:type="spellEnd"/>
            <w:r w:rsidRPr="004C7DDA">
              <w:rPr>
                <w:sz w:val="16"/>
                <w:szCs w:val="16"/>
                <w:lang w:val="id-ID"/>
              </w:rPr>
              <w:t> secara legal melalui perencanaan pajak yang efisien. Implikasinya, manajemen disarankan tidak hanya mengandalkan utang untuk efisiensi pajak, tetapi juga mempertimbangkan risiko keuangan, keberlanjutan, dan kepatuhan regulasi. Perusahaan dengan profitabilitas tinggi harus menjaga transparansi dan etika untuk menghindari persepsi negatif dari investor dan otoritas pajak. Sementara itu, perusahaan besar perlu menyeimbangkan efisiensi pajak dengan pelaporan yang transparan agar tetap mematuhi hukum. Bagi regulator, temuan ini menekankan pentingnya memperkuat pengawasan dan memperbarui regulasi perpajakan, terutama untuk perusahaan dengan pelaporan keuangan kompleks, guna meminimalkan celah hukum. Investor juga disarankan lebih kritis dalam menganalisis laporan keuangan, seperti memantau </w:t>
            </w:r>
            <w:proofErr w:type="spellStart"/>
            <w:r w:rsidRPr="004C7DDA">
              <w:rPr>
                <w:i/>
                <w:iCs/>
                <w:sz w:val="16"/>
                <w:szCs w:val="16"/>
                <w:lang w:val="id-ID"/>
              </w:rPr>
              <w:t>Effective</w:t>
            </w:r>
            <w:proofErr w:type="spellEnd"/>
            <w:r w:rsidRPr="004C7DDA">
              <w:rPr>
                <w:i/>
                <w:iCs/>
                <w:sz w:val="16"/>
                <w:szCs w:val="16"/>
                <w:lang w:val="id-ID"/>
              </w:rPr>
              <w:t xml:space="preserve"> </w:t>
            </w:r>
            <w:proofErr w:type="spellStart"/>
            <w:r w:rsidRPr="004C7DDA">
              <w:rPr>
                <w:i/>
                <w:iCs/>
                <w:sz w:val="16"/>
                <w:szCs w:val="16"/>
                <w:lang w:val="id-ID"/>
              </w:rPr>
              <w:t>Tax</w:t>
            </w:r>
            <w:proofErr w:type="spellEnd"/>
            <w:r w:rsidRPr="004C7DDA">
              <w:rPr>
                <w:i/>
                <w:iCs/>
                <w:sz w:val="16"/>
                <w:szCs w:val="16"/>
                <w:lang w:val="id-ID"/>
              </w:rPr>
              <w:t xml:space="preserve"> Rate</w:t>
            </w:r>
            <w:r w:rsidRPr="004C7DDA">
              <w:rPr>
                <w:sz w:val="16"/>
                <w:szCs w:val="16"/>
                <w:lang w:val="id-ID"/>
              </w:rPr>
              <w:t> dan </w:t>
            </w:r>
            <w:proofErr w:type="spellStart"/>
            <w:r w:rsidRPr="004C7DDA">
              <w:rPr>
                <w:i/>
                <w:iCs/>
                <w:sz w:val="16"/>
                <w:szCs w:val="16"/>
                <w:lang w:val="id-ID"/>
              </w:rPr>
              <w:t>book-tax</w:t>
            </w:r>
            <w:proofErr w:type="spellEnd"/>
            <w:r w:rsidRPr="004C7DDA">
              <w:rPr>
                <w:i/>
                <w:iCs/>
                <w:sz w:val="16"/>
                <w:szCs w:val="16"/>
                <w:lang w:val="id-ID"/>
              </w:rPr>
              <w:t xml:space="preserve"> </w:t>
            </w:r>
            <w:proofErr w:type="spellStart"/>
            <w:r w:rsidRPr="004C7DDA">
              <w:rPr>
                <w:i/>
                <w:iCs/>
                <w:sz w:val="16"/>
                <w:szCs w:val="16"/>
                <w:lang w:val="id-ID"/>
              </w:rPr>
              <w:t>difference</w:t>
            </w:r>
            <w:proofErr w:type="spellEnd"/>
            <w:r w:rsidRPr="004C7DDA">
              <w:rPr>
                <w:sz w:val="16"/>
                <w:szCs w:val="16"/>
                <w:lang w:val="id-ID"/>
              </w:rPr>
              <w:t>, sebagai indikator potensi </w:t>
            </w:r>
            <w:proofErr w:type="spellStart"/>
            <w:r w:rsidRPr="004C7DDA">
              <w:rPr>
                <w:i/>
                <w:iCs/>
                <w:sz w:val="16"/>
                <w:szCs w:val="16"/>
                <w:lang w:val="id-ID"/>
              </w:rPr>
              <w:t>tax</w:t>
            </w:r>
            <w:proofErr w:type="spellEnd"/>
            <w:r w:rsidRPr="004C7DDA">
              <w:rPr>
                <w:i/>
                <w:iCs/>
                <w:sz w:val="16"/>
                <w:szCs w:val="16"/>
                <w:lang w:val="id-ID"/>
              </w:rPr>
              <w:t xml:space="preserve"> </w:t>
            </w:r>
            <w:proofErr w:type="spellStart"/>
            <w:r w:rsidRPr="004C7DDA">
              <w:rPr>
                <w:i/>
                <w:iCs/>
                <w:sz w:val="16"/>
                <w:szCs w:val="16"/>
                <w:lang w:val="id-ID"/>
              </w:rPr>
              <w:t>avoidance</w:t>
            </w:r>
            <w:proofErr w:type="spellEnd"/>
            <w:r w:rsidRPr="004C7DDA">
              <w:rPr>
                <w:sz w:val="16"/>
                <w:szCs w:val="16"/>
                <w:lang w:val="id-ID"/>
              </w:rPr>
              <w:t>. Dengan demikian, penelitian ini memberikan kontribusi empiris bagi pengambilan keputusan keuangan perusahaan dan perumusan kebijakan pajak yang lebih efektif.</w:t>
            </w:r>
          </w:p>
        </w:tc>
      </w:tr>
      <w:tr w:rsidR="002275AF" w:rsidRPr="00DD60E7" w14:paraId="3BF96642" w14:textId="77777777" w:rsidTr="00666FC1">
        <w:trPr>
          <w:trHeight w:val="392"/>
        </w:trPr>
        <w:tc>
          <w:tcPr>
            <w:tcW w:w="3402" w:type="dxa"/>
            <w:shd w:val="clear" w:color="auto" w:fill="F2F2F2"/>
            <w:vAlign w:val="center"/>
          </w:tcPr>
          <w:p w14:paraId="49F8CD1D" w14:textId="77777777" w:rsidR="002275AF" w:rsidRPr="00DD60E7" w:rsidRDefault="002275AF" w:rsidP="002275AF">
            <w:pPr>
              <w:spacing w:after="0"/>
              <w:jc w:val="left"/>
              <w:rPr>
                <w:b/>
                <w:smallCaps/>
                <w:szCs w:val="20"/>
              </w:rPr>
            </w:pPr>
            <w:r w:rsidRPr="00DD60E7">
              <w:rPr>
                <w:b/>
                <w:smallCaps/>
                <w:szCs w:val="20"/>
              </w:rPr>
              <w:t>CORRESPONDING AUTHOR</w:t>
            </w:r>
          </w:p>
        </w:tc>
        <w:tc>
          <w:tcPr>
            <w:tcW w:w="284" w:type="dxa"/>
            <w:vMerge/>
            <w:shd w:val="clear" w:color="auto" w:fill="auto"/>
            <w:vAlign w:val="center"/>
          </w:tcPr>
          <w:p w14:paraId="68E1B9C2" w14:textId="77777777" w:rsidR="002275AF" w:rsidRPr="00DD60E7" w:rsidRDefault="002275AF" w:rsidP="002275AF">
            <w:pPr>
              <w:spacing w:after="120"/>
              <w:jc w:val="left"/>
            </w:pPr>
          </w:p>
        </w:tc>
        <w:tc>
          <w:tcPr>
            <w:tcW w:w="5386" w:type="dxa"/>
            <w:vMerge/>
            <w:shd w:val="clear" w:color="auto" w:fill="auto"/>
            <w:vAlign w:val="center"/>
          </w:tcPr>
          <w:p w14:paraId="36A03AB8" w14:textId="77777777" w:rsidR="002275AF" w:rsidRPr="00DD60E7" w:rsidRDefault="002275AF" w:rsidP="002275AF">
            <w:pPr>
              <w:spacing w:after="120"/>
              <w:jc w:val="left"/>
            </w:pPr>
          </w:p>
        </w:tc>
      </w:tr>
      <w:tr w:rsidR="002275AF" w:rsidRPr="00DD60E7" w14:paraId="1D8AE247" w14:textId="77777777" w:rsidTr="00F602FD">
        <w:trPr>
          <w:trHeight w:val="278"/>
        </w:trPr>
        <w:tc>
          <w:tcPr>
            <w:tcW w:w="3402" w:type="dxa"/>
            <w:shd w:val="clear" w:color="auto" w:fill="auto"/>
          </w:tcPr>
          <w:p w14:paraId="69D4BB67" w14:textId="77777777" w:rsidR="002275AF" w:rsidRPr="00DD60E7" w:rsidRDefault="002275AF" w:rsidP="002275AF">
            <w:pPr>
              <w:spacing w:after="120"/>
              <w:jc w:val="left"/>
              <w:rPr>
                <w:szCs w:val="20"/>
              </w:rPr>
            </w:pPr>
            <w:r w:rsidRPr="00DD60E7">
              <w:rPr>
                <w:szCs w:val="20"/>
              </w:rPr>
              <w:t>B1032221024@student.untan.ac.id</w:t>
            </w:r>
          </w:p>
        </w:tc>
        <w:tc>
          <w:tcPr>
            <w:tcW w:w="284" w:type="dxa"/>
            <w:vMerge/>
            <w:shd w:val="clear" w:color="auto" w:fill="auto"/>
            <w:vAlign w:val="center"/>
          </w:tcPr>
          <w:p w14:paraId="21265EEC" w14:textId="77777777" w:rsidR="002275AF" w:rsidRPr="00DD60E7" w:rsidRDefault="002275AF" w:rsidP="002275AF">
            <w:pPr>
              <w:spacing w:after="120"/>
              <w:jc w:val="left"/>
              <w:rPr>
                <w:szCs w:val="20"/>
              </w:rPr>
            </w:pPr>
          </w:p>
        </w:tc>
        <w:tc>
          <w:tcPr>
            <w:tcW w:w="5386" w:type="dxa"/>
            <w:vMerge/>
            <w:shd w:val="clear" w:color="auto" w:fill="auto"/>
            <w:vAlign w:val="center"/>
          </w:tcPr>
          <w:p w14:paraId="58144AEA" w14:textId="77777777" w:rsidR="002275AF" w:rsidRPr="00DD60E7" w:rsidRDefault="002275AF" w:rsidP="002275AF">
            <w:pPr>
              <w:spacing w:after="120"/>
              <w:jc w:val="left"/>
              <w:rPr>
                <w:szCs w:val="20"/>
              </w:rPr>
            </w:pPr>
          </w:p>
        </w:tc>
      </w:tr>
      <w:tr w:rsidR="002275AF" w:rsidRPr="00DD60E7" w14:paraId="5E645643" w14:textId="77777777" w:rsidTr="00666FC1">
        <w:trPr>
          <w:trHeight w:val="359"/>
        </w:trPr>
        <w:tc>
          <w:tcPr>
            <w:tcW w:w="3402" w:type="dxa"/>
            <w:shd w:val="clear" w:color="auto" w:fill="F2F2F2"/>
            <w:vAlign w:val="center"/>
          </w:tcPr>
          <w:p w14:paraId="74178D84" w14:textId="77777777" w:rsidR="002275AF" w:rsidRPr="00DD60E7" w:rsidRDefault="002275AF" w:rsidP="002275AF">
            <w:pPr>
              <w:spacing w:after="0"/>
              <w:jc w:val="left"/>
              <w:rPr>
                <w:b/>
                <w:smallCaps/>
                <w:szCs w:val="20"/>
              </w:rPr>
            </w:pPr>
            <w:r w:rsidRPr="00DD60E7">
              <w:rPr>
                <w:b/>
                <w:smallCaps/>
                <w:szCs w:val="20"/>
              </w:rPr>
              <w:t>DOI</w:t>
            </w:r>
          </w:p>
        </w:tc>
        <w:tc>
          <w:tcPr>
            <w:tcW w:w="284" w:type="dxa"/>
            <w:vMerge/>
            <w:shd w:val="clear" w:color="auto" w:fill="auto"/>
            <w:vAlign w:val="center"/>
          </w:tcPr>
          <w:p w14:paraId="469CE4FB" w14:textId="77777777" w:rsidR="002275AF" w:rsidRPr="00DD60E7" w:rsidRDefault="002275AF" w:rsidP="002275AF">
            <w:pPr>
              <w:spacing w:after="120"/>
              <w:jc w:val="left"/>
            </w:pPr>
          </w:p>
        </w:tc>
        <w:tc>
          <w:tcPr>
            <w:tcW w:w="5386" w:type="dxa"/>
            <w:vMerge/>
            <w:shd w:val="clear" w:color="auto" w:fill="auto"/>
            <w:vAlign w:val="center"/>
          </w:tcPr>
          <w:p w14:paraId="0C095DE8" w14:textId="77777777" w:rsidR="002275AF" w:rsidRPr="00DD60E7" w:rsidRDefault="002275AF" w:rsidP="002275AF">
            <w:pPr>
              <w:spacing w:after="120"/>
              <w:jc w:val="left"/>
            </w:pPr>
          </w:p>
        </w:tc>
      </w:tr>
      <w:tr w:rsidR="002275AF" w:rsidRPr="00DD60E7" w14:paraId="1DCCADFC" w14:textId="77777777" w:rsidTr="00F602FD">
        <w:trPr>
          <w:trHeight w:val="278"/>
        </w:trPr>
        <w:tc>
          <w:tcPr>
            <w:tcW w:w="3402" w:type="dxa"/>
            <w:tcBorders>
              <w:bottom w:val="single" w:sz="2" w:space="0" w:color="auto"/>
            </w:tcBorders>
            <w:shd w:val="clear" w:color="auto" w:fill="auto"/>
          </w:tcPr>
          <w:p w14:paraId="4A4E1F08" w14:textId="2CCED135" w:rsidR="002275AF" w:rsidRPr="00DD60E7" w:rsidRDefault="002275AF" w:rsidP="002275AF">
            <w:pPr>
              <w:spacing w:after="120"/>
              <w:jc w:val="left"/>
              <w:rPr>
                <w:szCs w:val="20"/>
              </w:rPr>
            </w:pPr>
            <w:r w:rsidRPr="00DD60E7">
              <w:rPr>
                <w:szCs w:val="20"/>
              </w:rPr>
              <w:t>10.37034/</w:t>
            </w:r>
            <w:proofErr w:type="gramStart"/>
            <w:r w:rsidRPr="00DD60E7">
              <w:rPr>
                <w:szCs w:val="20"/>
              </w:rPr>
              <w:t>jems.v</w:t>
            </w:r>
            <w:proofErr w:type="gramEnd"/>
            <w:r>
              <w:rPr>
                <w:szCs w:val="20"/>
              </w:rPr>
              <w:t>7</w:t>
            </w:r>
            <w:r w:rsidRPr="00DD60E7">
              <w:rPr>
                <w:szCs w:val="20"/>
              </w:rPr>
              <w:t>i</w:t>
            </w:r>
            <w:r>
              <w:rPr>
                <w:szCs w:val="20"/>
              </w:rPr>
              <w:t>3</w:t>
            </w:r>
            <w:r w:rsidRPr="00DD60E7">
              <w:rPr>
                <w:szCs w:val="20"/>
              </w:rPr>
              <w:t>.1</w:t>
            </w:r>
            <w:r>
              <w:rPr>
                <w:szCs w:val="20"/>
              </w:rPr>
              <w:t>10</w:t>
            </w:r>
          </w:p>
        </w:tc>
        <w:tc>
          <w:tcPr>
            <w:tcW w:w="284" w:type="dxa"/>
            <w:vMerge/>
            <w:tcBorders>
              <w:bottom w:val="single" w:sz="2" w:space="0" w:color="auto"/>
            </w:tcBorders>
            <w:shd w:val="clear" w:color="auto" w:fill="auto"/>
            <w:vAlign w:val="center"/>
          </w:tcPr>
          <w:p w14:paraId="320955D1" w14:textId="77777777" w:rsidR="002275AF" w:rsidRPr="00DD60E7" w:rsidRDefault="002275AF" w:rsidP="002275AF">
            <w:pPr>
              <w:spacing w:after="120"/>
              <w:jc w:val="left"/>
              <w:rPr>
                <w:szCs w:val="20"/>
              </w:rPr>
            </w:pPr>
          </w:p>
        </w:tc>
        <w:tc>
          <w:tcPr>
            <w:tcW w:w="5386" w:type="dxa"/>
            <w:vMerge/>
            <w:tcBorders>
              <w:bottom w:val="single" w:sz="2" w:space="0" w:color="auto"/>
            </w:tcBorders>
            <w:shd w:val="clear" w:color="auto" w:fill="auto"/>
            <w:vAlign w:val="center"/>
          </w:tcPr>
          <w:p w14:paraId="2B2DF996" w14:textId="77777777" w:rsidR="002275AF" w:rsidRPr="00DD60E7" w:rsidRDefault="002275AF" w:rsidP="002275AF">
            <w:pPr>
              <w:spacing w:after="120"/>
              <w:jc w:val="left"/>
              <w:rPr>
                <w:szCs w:val="20"/>
              </w:rPr>
            </w:pPr>
          </w:p>
        </w:tc>
      </w:tr>
    </w:tbl>
    <w:p w14:paraId="503B62C1" w14:textId="77777777" w:rsidR="00505806" w:rsidRPr="00DD60E7" w:rsidRDefault="00505806" w:rsidP="00DD60E7">
      <w:pPr>
        <w:spacing w:after="0"/>
        <w:jc w:val="right"/>
        <w:rPr>
          <w:i/>
          <w:color w:val="000000"/>
          <w:sz w:val="18"/>
          <w:szCs w:val="18"/>
        </w:rPr>
      </w:pPr>
    </w:p>
    <w:p w14:paraId="11486786" w14:textId="77777777" w:rsidR="00505806" w:rsidRPr="00DD60E7" w:rsidRDefault="00505806" w:rsidP="00DD60E7">
      <w:pPr>
        <w:spacing w:after="0"/>
        <w:jc w:val="right"/>
        <w:rPr>
          <w:lang w:val="id-ID"/>
        </w:rPr>
        <w:sectPr w:rsidR="00505806" w:rsidRPr="00DD60E7" w:rsidSect="003F0EC6">
          <w:headerReference w:type="default" r:id="rId10"/>
          <w:footerReference w:type="default" r:id="rId11"/>
          <w:footerReference w:type="first" r:id="rId12"/>
          <w:pgSz w:w="11906" w:h="16838"/>
          <w:pgMar w:top="630" w:right="1416" w:bottom="1418" w:left="1418" w:header="709" w:footer="709" w:gutter="0"/>
          <w:pgNumType w:start="184"/>
          <w:cols w:space="708"/>
          <w:titlePg/>
          <w:docGrid w:linePitch="360"/>
        </w:sectPr>
      </w:pPr>
    </w:p>
    <w:p w14:paraId="21B83841" w14:textId="77777777" w:rsidR="00272545" w:rsidRPr="002275AF" w:rsidRDefault="00272545" w:rsidP="00286CFF">
      <w:pPr>
        <w:pStyle w:val="Heading1"/>
        <w:numPr>
          <w:ilvl w:val="0"/>
          <w:numId w:val="1"/>
        </w:numPr>
        <w:spacing w:before="120"/>
        <w:ind w:left="284" w:hanging="284"/>
        <w:rPr>
          <w:lang w:val="id-ID"/>
        </w:rPr>
      </w:pPr>
      <w:r w:rsidRPr="002275AF">
        <w:rPr>
          <w:lang w:val="id-ID"/>
        </w:rPr>
        <w:t xml:space="preserve">Pendahuluan </w:t>
      </w:r>
    </w:p>
    <w:p w14:paraId="3352CE69" w14:textId="604108EF" w:rsidR="00E634F5" w:rsidRPr="00A50E7E" w:rsidRDefault="00E634F5" w:rsidP="00286CFF">
      <w:pPr>
        <w:spacing w:before="120" w:after="120"/>
        <w:rPr>
          <w:bCs/>
          <w:color w:val="000000"/>
          <w:szCs w:val="20"/>
          <w:lang w:val="id-ID"/>
        </w:rPr>
      </w:pPr>
      <w:r w:rsidRPr="00A50E7E">
        <w:rPr>
          <w:bCs/>
          <w:color w:val="000000"/>
          <w:szCs w:val="20"/>
          <w:lang w:val="id-ID"/>
        </w:rPr>
        <w:t xml:space="preserve">Sektor properti dan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merupakan salah satu pilar strategis dalam pembangunan ekonomi nasional. Kontribusinya tidak hanya tercermin dari sumbangsih terhadap Produk Domestik Bruto (PDB), melainkan </w:t>
      </w:r>
      <w:r w:rsidRPr="00A50E7E">
        <w:rPr>
          <w:bCs/>
          <w:color w:val="000000"/>
          <w:szCs w:val="20"/>
          <w:lang w:val="id-ID"/>
        </w:rPr>
        <w:t>juga peranannya sebagai penggerak sektor-sektor lain seperti konstruksi, perbankan, dan industri bahan bangunan</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{"citationItems":[{"id":"ITEM-1","itemData":{"DOI":"10.32877/ef.v6i2.1436","ISSN":"2656-095X","abstract":"Tujuan utama penelitian adalah untuk menganalisis hubungan Auditor Switching, Audit Fee, Audit Committee, dan Firm Size terhadap Audit Delay secara simultan atau parsial pada perusahaan Property dan Real Estate yang terdapat di BEI 2015-2023. Metode Kuantitaf dengan pendekatan analisis deskritif dan verifikatif telah diterapkan selama penelitian ini. Data skunder yang merupakan data utama pada penelitian ini adalah data Laporan Tahunan (Annual Report) pada perusahaan sektor Property dan Real Estate yang terdaftar di BEI selama 8 tahun terhitung sejak 2015-2023, yang diakses menggunakan halaman resmi BEI dan Perusahaan. Sedangakan data pendukung berasal dari dokumen dan literatur terkiat lainnya. Penelitian melibatakan 93 perusahaan sektor Property dan Real Estate yang terdapat BEI tahun 2015-2023 sebagai populasi penelitian. Sedangkan pemilihan sampel dilaksanakan dengan menerapkan metode purposive sampling berdasarkan kriteria yang telah diterapkan, sehingga sampel yang diperoleh akan dapat memberikan hasil yang lebih aktual. Sedangkan berdasarkan kriteria yang diterapkan, maka diperoleh 10 perusahaan yang dinilai sesuai dan layak untuk digunakan sebagai sampel penelitian. Temuan penelitian ini menyimpulkan bahwa meskipun ada beberapa keterlambatan audit yang signifikan di industri Property dan Real Estate, faktor dominan yang mempengaruhi keterlambatan tersebut adalah Audit Fee. Variabel lain seperti Auditor Switching, Audit Committee, dan Firm Size tidak memegang pengaruh signifikan secara individu, meskipun secara simultan keseluruhan mempengaruhi Audit Delay.","author":[{"dropping-particle":"","family":"Mutianisa","given":"Tita","non-dropping-particle":"","parse-names":false,"suffix":""},{"dropping-particle":"","family":"Febriyanti","given":"Diah","non-dropping-particle":"","parse-names":false,"suffix":""},{"dropping-particle":"","family":"Sajekti","given":"Tjipto","non-dropping-particle":"","parse-names":false,"suffix":""}],"container-title":"eCo-Fin","id":"ITEM-1","issue":"2","issued":{"date-parts":[["2024","6","10"]]},"page":"367-376","title":"Pengaruh Auditor Switching, Audit Fee, Audit Committee, dan Firm Size Terhadap Audit Delay (Sektor Property dan Real Estate BEI 2015-2023)","type":"article-journal","volume":"6"},"uris":["http://www.mendeley.com/documents/?uuid=44526c78-eb92-4ab5-a366-40214d88d24c"]}],"mendeley":{"formattedCitation":"[1]","plainTextFormattedCitation":"[1]","previouslyFormattedCitation":"(Mutianisa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1" w:history="1">
        <w:r w:rsidR="007C665C" w:rsidRPr="00A50E7E">
          <w:rPr>
            <w:rStyle w:val="Hyperlink"/>
            <w:bCs/>
            <w:szCs w:val="20"/>
            <w:u w:val="none"/>
            <w:lang w:val="id-ID"/>
          </w:rPr>
          <w:t>1</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Berdasarkan data Badan Pusat Statistik (BPS), kontribusi sektor konstruksi dan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terhadap PDB Indonesia pada tahun 2022 tercatat mencapai 13%, yang menunjukkan signifikansi sektor </w:t>
      </w:r>
      <w:r w:rsidRPr="00A50E7E">
        <w:rPr>
          <w:bCs/>
          <w:color w:val="000000"/>
          <w:szCs w:val="20"/>
          <w:lang w:val="id-ID"/>
        </w:rPr>
        <w:lastRenderedPageBreak/>
        <w:t>ini dalam menciptakan lapangan kerja serta mendorong pertumbuhan ekonomi nasional</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{"citationItems":[{"id":"ITEM-1","itemData":{"DOI":"10.32877/ef.v6i2.1436","ISSN":"2656-095X","abstract":"Tujuan utama penelitian adalah untuk menganalisis hubungan Auditor Switching, Audit Fee, Audit Committee, dan Firm Size terhadap Audit Delay secara simultan atau parsial pada perusahaan Property dan Real Estate yang terdapat di BEI 2015-2023. Metode Kuantitaf dengan pendekatan analisis deskritif dan verifikatif telah diterapkan selama penelitian ini. Data skunder yang merupakan data utama pada penelitian ini adalah data Laporan Tahunan (Annual Report) pada perusahaan sektor Property dan Real Estate yang terdaftar di BEI selama 8 tahun terhitung sejak 2015-2023, yang diakses menggunakan halaman resmi BEI dan Perusahaan. Sedangakan data pendukung berasal dari dokumen dan literatur terkiat lainnya. Penelitian melibatakan 93 perusahaan sektor Property dan Real Estate yang terdapat BEI tahun 2015-2023 sebagai populasi penelitian. Sedangkan pemilihan sampel dilaksanakan dengan menerapkan metode purposive sampling berdasarkan kriteria yang telah diterapkan, sehingga sampel yang diperoleh akan dapat memberikan hasil yang lebih aktual. Sedangkan berdasarkan kriteria yang diterapkan, maka diperoleh 10 perusahaan yang dinilai sesuai dan layak untuk digunakan sebagai sampel penelitian. Temuan penelitian ini menyimpulkan bahwa meskipun ada beberapa keterlambatan audit yang signifikan di industri Property dan Real Estate, faktor dominan yang mempengaruhi keterlambatan tersebut adalah Audit Fee. Variabel lain seperti Auditor Switching, Audit Committee, dan Firm Size tidak memegang pengaruh signifikan secara individu, meskipun secara simultan keseluruhan mempengaruhi Audit Delay.","author":[{"dropping-particle":"","family":"Mutianisa","given":"Tita","non-dropping-particle":"","parse-names":false,"suffix":""},{"dropping-particle":"","family":"Febriyanti","given":"Diah","non-dropping-particle":"","parse-names":false,"suffix":""},{"dropping-particle":"","family":"Sajekti","given":"Tjipto","non-dropping-particle":"","parse-names":false,"suffix":""}],"container-title":"eCo-Fin","id":"ITEM-1","issue":"2","issued":{"date-parts":[["2024","6","10"]]},"page":"367-376","title":"Pengaruh Auditor Switching, Audit Fee, Audit Committee, dan Firm Size Terhadap Audit Delay (Sektor Property dan Real Estate BEI 2015-2023)","type":"article-journal","volume":"6"},"uris":["http://www.mendeley.com/documents/?uuid=44526c78-eb92-4ab5-a366-40214d88d24c"]},{"id":"ITEM-2","itemData":{"DOI":"10.25105/jet.v3i1.15437","ISSN":"2339-0840","abstract":"Tujuan dari penelitian ini adalah menganalisis kinerja keuangan perusahaan yang berguna untuk mendukung pengambilan keputusan bagi perusahaan sektor properti dan real estate yang terdaftar di Bursa Efek Indonesia sebelum dan selama pandemi Covid-19. Dalam penelitian ini peneliti menggunakan laporan keuangan berupa neraca dan laba rugi pada perusahaan sektor properti dan real estate yang berturut-turut terdaftar pada Indeks LQ45 Bursa Efek Indonesia sebelum dan selama pandemi Covid-19 yaitu pada PT Pembangunan Perumahan (Persero), Tbk., PT Bumi Serpong Damai, Tbk., PT Alam Sutera Reality, Tbk., PT Lippo Karawaci, Tbk., dan PT Sentul City Tbk. Alat analisis yang digunakan dalam penelitian ini adalah rasio keuangan likuiditas, solvabilitas, dan profitabilitas. Hasil dari analisis yang peneliti lakukan dapat disimpulkan bahwa pandemi Covid-19 berpengaruh terhadap kinerja keuangan perusahaan sektor properti dan real estate jika diukur menggunakan rasio likuiditas, solvabilitas, dan profitabilitas. Berdasarkan rasio likuiditas terdapat penurunan kemampuan perusahaan sektor properti dan real estate dalam memenuhi kewajiban atau membayar utang jangka pendeknya. Berdasarkan rasio solvabilitas terdapat penurunan kemampuan perusahaan sektor properti dan real estate dalam memenuhi kewajiban hutang jangka panjangnya. Berdasarkan rasio profitabilitas terdapat penurunan kemampuan perusahaan sektor properti dan real estate dalam mendapatkan laba dari pendapatan terkait penjualan, aset, dan ekuitas perusahaan berdasarkan dasar pengukuran tertentu. The purpose of this research is to analyze the company's financial performance which is useful for supporting decision-making for property and real estate sector companies listed on the Indonesia Stock Exchange before and during the Covid-19 pandemic. In this research, researchers used financial statements in the form of balance sheets and profit and loss in property and real estate sector companies that were successively listed on the Indonesia Stock Exchange LQ45 Index before and during the Covid-19 pandemic, namely at PT Pembangunan Perumahan (Persero), Tbk., PT Bumi Serpong Damai, Tbk., PT Alam Sutera Reality, Tbk., PT Lippo Karawaci, Tbk., and PT Sentul City Tbk. The analytical tool used in this research is the liquidity, solvency, and profitability ratios. The results of the analysis conducted by researchers can be concluded that the Covid-19 pandemic affects the financial performance of property and real estate sector c…","author":[{"dropping-particle":"","family":"Silindung","given":"Satrio","non-dropping-particle":"","parse-names":false,"suffix":""},{"dropping-particle":"","family":"Budi","given":"Bagus","non-dropping-particle":"","parse-names":false,"suffix":""},{"dropping-particle":"","family":"Yanti","given":"Harti","non-dropping-particle":"","parse-names":false,"suffix":""}],"container-title":"Jurnal Ekonomi Trisakti","id":"ITEM-2","issue":"1","issued":{"date-parts":[["2023","1","16"]]},"page":"329-340","title":"ANALISIS KINERJA KEUANGAN PERUSAHAAN SEKTOR PROPERTI DAN REAL ESTATE SEBELUM DAN SELAMA PANDEMI COVID-19","type":"article-journal","volume":"3"},"uris":["http://www.mendeley.com/documents/?uuid=63352008-8241-449f-b4fa-95f6e7695bf3"]}],"mendeley":{"formattedCitation":"[1], [2]","plainTextFormattedCitation":"[1], [2]","previouslyFormattedCitation":"(Mutianisa et al., 2024; Silindung et al.,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1" w:history="1">
        <w:r w:rsidR="007C665C" w:rsidRPr="00A50E7E">
          <w:rPr>
            <w:rStyle w:val="Hyperlink"/>
            <w:bCs/>
            <w:szCs w:val="20"/>
            <w:u w:val="none"/>
            <w:lang w:val="id-ID"/>
          </w:rPr>
          <w:t>1</w:t>
        </w:r>
      </w:hyperlink>
      <w:r w:rsidR="007C665C" w:rsidRPr="00A50E7E">
        <w:rPr>
          <w:bCs/>
          <w:color w:val="000000"/>
          <w:szCs w:val="20"/>
          <w:lang w:val="id-ID"/>
        </w:rPr>
        <w:t>], [</w:t>
      </w:r>
      <w:hyperlink w:anchor="a2" w:history="1">
        <w:r w:rsidR="007C665C" w:rsidRPr="00A50E7E">
          <w:rPr>
            <w:rStyle w:val="Hyperlink"/>
            <w:bCs/>
            <w:szCs w:val="20"/>
            <w:u w:val="none"/>
            <w:lang w:val="id-ID"/>
          </w:rPr>
          <w:t>2</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Kebutuhan masyarakat akan hunian, kawasan komersial, dan infrastruktur penunjang yang terus meningkat turut mendorong aktivitas investasi di sektor ini</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{"citationItems":[{"id":"ITEM-1","itemData":{"DOI":"10.25105/jet.v3i1.15437","ISSN":"2339-0840","abstract":"Tujuan dari penelitian ini adalah menganalisis kinerja keuangan perusahaan yang berguna untuk mendukung pengambilan keputusan bagi perusahaan sektor properti dan real estate yang terdaftar di Bursa Efek Indonesia sebelum dan selama pandemi Covid-19. Dalam penelitian ini peneliti menggunakan laporan keuangan berupa neraca dan laba rugi pada perusahaan sektor properti dan real estate yang berturut-turut terdaftar pada Indeks LQ45 Bursa Efek Indonesia sebelum dan selama pandemi Covid-19 yaitu pada PT Pembangunan Perumahan (Persero), Tbk., PT Bumi Serpong Damai, Tbk., PT Alam Sutera Reality, Tbk., PT Lippo Karawaci, Tbk., dan PT Sentul City Tbk. Alat analisis yang digunakan dalam penelitian ini adalah rasio keuangan likuiditas, solvabilitas, dan profitabilitas. Hasil dari analisis yang peneliti lakukan dapat disimpulkan bahwa pandemi Covid-19 berpengaruh terhadap kinerja keuangan perusahaan sektor properti dan real estate jika diukur menggunakan rasio likuiditas, solvabilitas, dan profitabilitas. Berdasarkan rasio likuiditas terdapat penurunan kemampuan perusahaan sektor properti dan real estate dalam memenuhi kewajiban atau membayar utang jangka pendeknya. Berdasarkan rasio solvabilitas terdapat penurunan kemampuan perusahaan sektor properti dan real estate dalam memenuhi kewajiban hutang jangka panjangnya. Berdasarkan rasio profitabilitas terdapat penurunan kemampuan perusahaan sektor properti dan real estate dalam mendapatkan laba dari pendapatan terkait penjualan, aset, dan ekuitas perusahaan berdasarkan dasar pengukuran tertentu. The purpose of this research is to analyze the company's financial performance which is useful for supporting decision-making for property and real estate sector companies listed on the Indonesia Stock Exchange before and during the Covid-19 pandemic. In this research, researchers used financial statements in the form of balance sheets and profit and loss in property and real estate sector companies that were successively listed on the Indonesia Stock Exchange LQ45 Index before and during the Covid-19 pandemic, namely at PT Pembangunan Perumahan (Persero), Tbk., PT Bumi Serpong Damai, Tbk., PT Alam Sutera Reality, Tbk., PT Lippo Karawaci, Tbk., and PT Sentul City Tbk. The analytical tool used in this research is the liquidity, solvency, and profitability ratios. The results of the analysis conducted by researchers can be concluded that the Covid-19 pandemic affects the financial performance of property and real estate sector c…","author":[{"dropping-particle":"","family":"Silindung","given":"Satrio","non-dropping-particle":"","parse-names":false,"suffix":""},{"dropping-particle":"","family":"Budi","given":"Bagus","non-dropping-particle":"","parse-names":false,"suffix":""},{"dropping-particle":"","family":"Yanti","given":"Harti","non-dropping-particle":"","parse-names":false,"suffix":""}],"container-title":"Jurnal Ekonomi Trisakti","id":"ITEM-1","issue":"1","issued":{"date-parts":[["2023","1","16"]]},"page":"329-340","title":"ANALISIS KINERJA KEUANGAN PERUSAHAAN SEKTOR PROPERTI DAN REAL ESTATE SEBELUM DAN SELAMA PANDEMI COVID-19","type":"article-journal","volume":"3"},"uris":["http://www.mendeley.com/documents/?uuid=63352008-8241-449f-b4fa-95f6e7695bf3"]}],"mendeley":{"formattedCitation":"[2]","plainTextFormattedCitation":"[2]","previouslyFormattedCitation":"(Silindung et al.,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2" w:history="1">
        <w:r w:rsidR="007C665C" w:rsidRPr="00A50E7E">
          <w:rPr>
            <w:rStyle w:val="Hyperlink"/>
            <w:bCs/>
            <w:szCs w:val="20"/>
            <w:u w:val="none"/>
            <w:lang w:val="id-ID"/>
          </w:rPr>
          <w:t>2</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w:t>
      </w:r>
    </w:p>
    <w:p w14:paraId="0AC55FD9" w14:textId="20BE7405" w:rsidR="00E634F5" w:rsidRPr="00A50E7E" w:rsidRDefault="00E634F5" w:rsidP="00286CFF">
      <w:pPr>
        <w:spacing w:before="120" w:after="120"/>
        <w:rPr>
          <w:bCs/>
          <w:color w:val="000000"/>
          <w:szCs w:val="20"/>
          <w:lang w:val="id-ID"/>
        </w:rPr>
      </w:pPr>
      <w:r w:rsidRPr="00A50E7E">
        <w:rPr>
          <w:bCs/>
          <w:color w:val="000000"/>
          <w:szCs w:val="20"/>
          <w:lang w:val="id-ID"/>
        </w:rPr>
        <w:t xml:space="preserve">Namun demikian, pertumbuhan sektor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dalam beberapa tahun terakhir menunjukkan tren yang fluktuatif</w:t>
      </w:r>
      <w:r w:rsidR="00286CFF" w:rsidRPr="00A50E7E">
        <w:rPr>
          <w:bCs/>
          <w:color w:val="000000"/>
          <w:szCs w:val="20"/>
        </w:rPr>
        <w:t xml:space="preserve">, </w:t>
      </w:r>
      <w:proofErr w:type="spellStart"/>
      <w:r w:rsidR="00286CFF" w:rsidRPr="00A50E7E">
        <w:rPr>
          <w:bCs/>
          <w:color w:val="000000"/>
          <w:szCs w:val="20"/>
        </w:rPr>
        <w:t>seperti</w:t>
      </w:r>
      <w:proofErr w:type="spellEnd"/>
      <w:r w:rsidR="00286CFF" w:rsidRPr="00A50E7E">
        <w:rPr>
          <w:bCs/>
          <w:color w:val="000000"/>
          <w:szCs w:val="20"/>
        </w:rPr>
        <w:t xml:space="preserve"> yang </w:t>
      </w:r>
      <w:proofErr w:type="spellStart"/>
      <w:r w:rsidR="00286CFF" w:rsidRPr="00A50E7E">
        <w:rPr>
          <w:bCs/>
          <w:color w:val="000000"/>
          <w:szCs w:val="20"/>
        </w:rPr>
        <w:t>terlihat</w:t>
      </w:r>
      <w:proofErr w:type="spellEnd"/>
      <w:r w:rsidR="00286CFF" w:rsidRPr="00A50E7E">
        <w:rPr>
          <w:bCs/>
          <w:color w:val="000000"/>
          <w:szCs w:val="20"/>
        </w:rPr>
        <w:t xml:space="preserve"> pada Gambar 1.</w:t>
      </w:r>
      <w:r w:rsidRPr="00A50E7E">
        <w:rPr>
          <w:bCs/>
          <w:color w:val="000000"/>
          <w:szCs w:val="20"/>
          <w:lang w:val="id-ID"/>
        </w:rPr>
        <w:t xml:space="preserve"> Pada tahun 2018, pertumbuhan sektor ini tercatat sebesar 3,48% dan meningkat menjadi 5,76% pada tahun 2019. Akan tetapi, sejak tahun 2020 hingga 2023, pertumbuhan sektor ini mengalami penurunan beruntun, masing-masing sebesar 2,32% pada 2020, 2,78% pada 2021, 1,72% pada 2022, dan turun lagi menjadi 1,43% pada 2023</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{"citationItems":[{"id":"ITEM-1","itemData":{"DOI":"10.22437/jmk.v11i04.21767","ISSN":"2685-9424","abstract":"Kenaikan inflasi pasca pandemi mencapai 6%, tingkat suku bunga acuan Bank Indonesia yang sudah mengalami kenaikan, isu resesi global tahun 2023 yang disebabkan tingginya inflasi, kenaikan suku bunga yang agresif dan kondisi geopolitik serta ekonomi dunia. Indeks kinerja saham sector property dan real estate yang masih mengalami penurunan hingga tahun 2022. Penelitian ini bertujuan untuk menganalisis pengaruh inflasi, tingkat suku bunga dan isu resesi terhadap kinerja saham sector property dan real estate di Bursa efek Indonesia. Jenis penelitian ini kuatitaif dekskriftip menggunakan regresi liner berganda dengan variable dependen kinerja saham perusahaan sector property dan real estate, variable independen inflasi, suku bunga dan isu resesi global. Hasil penelitian ini menemukan bahwa inflasi tidak memiliki pengaruh terhadap kinerja saham, sedangan suku bunga dan isu resesi memiliki pengaruh negative dan signifikan terhadap kinerja saham sektor properti dan real estate","author":[{"dropping-particle":"","family":"Fitriaty","given":"Fitriaty","non-dropping-particle":"","parse-names":false,"suffix":""},{"dropping-particle":"","family":"Saputra","given":"Muhammad Haris","non-dropping-particle":"","parse-names":false,"suffix":""}],"container-title":"Jurnal Manajemen Terapan dan Keuangan","id":"ITEM-1","issue":"04","issued":{"date-parts":[["2022","12","10"]]},"page":"981-992","title":"INFLASI, SUKU BUNGA DAN RESESI TERHADAP KINERJA SAHAM PERUSAHAAN PROPERTI DAN REAL ESTATE DI BURSA EFEK INDONESIA","type":"article-journal","volume":"11"},"uris":["http://www.mendeley.com/documents/?uuid=1d1165ac-80e9-4186-8aaf-9801f08cb18b"]}],"mendeley":{"formattedCitation":"[3]","plainTextFormattedCitation":"[3]","previouslyFormattedCitation":"(Fitriaty &amp; Saputra, 2022)"},"properties":{"noteIndex":0},"schema":"https://github.com/citation-style-language/schema/raw/master/csl-citation.json"}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3" w:history="1">
        <w:r w:rsidR="007C665C" w:rsidRPr="00A50E7E">
          <w:rPr>
            <w:rStyle w:val="Hyperlink"/>
            <w:bCs/>
            <w:szCs w:val="20"/>
            <w:u w:val="none"/>
            <w:lang w:val="id-ID"/>
          </w:rPr>
          <w:t>3</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Meski pada tahun 2024 diperkirakan mengalami sedikit perbaikan dengan pertumbuhan mencapai 2,5%, ketidakstabilan dalam beberapa tahun terakhir tetap mencerminkan tantangan struktural yang dihadapi sektor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Kondisi ini dapat mendorong perusahaan untuk melakukan efisiensi keuangan secara internal, termasuk melalui strategi penghindaran pajak (</w:t>
      </w:r>
      <w:proofErr w:type="spellStart"/>
      <w:r w:rsidRPr="00A50E7E">
        <w:rPr>
          <w:bCs/>
          <w:i/>
          <w:iCs/>
          <w:color w:val="000000"/>
          <w:szCs w:val="20"/>
          <w:lang w:val="id-ID"/>
        </w:rPr>
        <w:t>tax</w:t>
      </w:r>
      <w:proofErr w:type="spellEnd"/>
      <w:r w:rsidRPr="00A50E7E">
        <w:rPr>
          <w:bCs/>
          <w:i/>
          <w:iCs/>
          <w:color w:val="000000"/>
          <w:szCs w:val="20"/>
          <w:lang w:val="id-ID"/>
        </w:rPr>
        <w:t xml:space="preserve"> </w:t>
      </w:r>
      <w:proofErr w:type="spellStart"/>
      <w:r w:rsidRPr="00A50E7E">
        <w:rPr>
          <w:bCs/>
          <w:i/>
          <w:iCs/>
          <w:color w:val="000000"/>
          <w:szCs w:val="20"/>
          <w:lang w:val="id-ID"/>
        </w:rPr>
        <w:t>avoidance</w:t>
      </w:r>
      <w:proofErr w:type="spellEnd"/>
      <w:r w:rsidRPr="00A50E7E">
        <w:rPr>
          <w:bCs/>
          <w:color w:val="000000"/>
          <w:szCs w:val="20"/>
          <w:lang w:val="id-ID"/>
        </w:rPr>
        <w:t>) guna menjaga tingkat profitabilitas dan kelangsungan usaha</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{"citationItems":[{"id":"ITEM-1","itemData":{"DOI":"10.22146/jnp.52178","ISSN":"2775-6246","abstract":"Indonesia memiliki beragam suku, budaya, ras, agama dan berbagai macam keindahan alam yang dapat dijumpai. Terlebih, Indonesia memiliki beragam sektor yang dapat mendongkrak devisa Negara. Salah satunya adalah sektor pariwisata yang menjadi sumber teratas devisa Negara. Tujuan penelitian ini untuk mengetahui potensi sumber daya alam dalam mengembangkan sektor pariwisata di Indonesia baik yang sudah ada maupun yang masih tersembunyi melalui langkah-langkah pemerintah, dinas, dan warga sekitar untuk mendongkrak taraf hidup masyarakat yang terdpat didalamnya serta meningkatkan kualitas pariwisata yang lebih baik. Penelitian ini dilakukan menggunakan metode deskripftif kualitatif dengan mengembangkan solusi dan perencanaan strategis.","author":[{"dropping-particle":"","family":"Rahma","given":"Adenisa Aulia","non-dropping-particle":"","parse-names":false,"suffix":""}],"container-title":"Jurnal Nasional Pariwisata","id":"ITEM-1","issue":"1","issued":{"date-parts":[["2020","4","13"]]},"page":"1","title":"Potensi Sumber Daya Alam dalam Mengembangkan Sektor Pariwisata Di Indonesia","type":"article-journal","volume":"12"},"uris":["http://www.mendeley.com/documents/?uuid=25818fb0-4b2d-4e44-a0d4-ac9fa76d106f"]},{"id":"ITEM-2","itemData":{"DOI":"10.32534/jpk.v10i4.4781","ISSN":"2685-9750","abstract":"Penelitian ini menguji dampak krisis terhadap profitabilitas, sebagai salah satu dimensi kinerja perusahaan, untuk perusahaan sektor riil estat dan properti di Indonesia. Penelitian menggunakan uji pengaruh variabel-variabel utama tersebut, dengan berbagai pengukuran sebagai uji robustness untuk melihat konsistensinya. Periode penelitian adalah tahun 2014 – 2021, di mana tahun 2014 – 2019 ada periode pra-krisis, tahun 2020 adalah periode krisis, dan tahun 2021 adalah periode pasca-krisis. Alat analisis yang digunakan adalah regresi data panel, dengan model ekonometrik terbaik yang terpilih adalah random effect model untuk semua model empiris yang dikonstruksikan. Hasil didapatkan secara robust bahwa krisis berdampak negatif pada profitabilitas perusahaan sektor riil estat dan properti di Indonesia, yang dibuktikan pada model 1, model 2, model 3, dan model 4. Oleh sebab itu, penelitian ini memberi saran kepada manajeril perusahaan untuk menetapkan kebijakan-kebijakan strategis untuk memitigasi dampak krisis terhadap kinerja perusahaan. Selain itu, juga kepada pemerintah diberikan saran untuk memberlakukan kebijakan-kebijakan strategis untuk membantu sektor industri riil estat dan properti yang terdampak negatif dalam menghadapi krisis.","author":[{"dropping-particle":"","family":"Simanjuntak","given":"Lydia Rosintan","non-dropping-particle":"","parse-names":false,"suffix":""}],"container-title":"Jurnal Proaksi","id":"ITEM-2","issue":"4","issued":{"date-parts":[["2023","10","16"]]},"page":"450-464","title":"Dampak Krisis Akibat Pandemi COVID-19 Terhadap Kinerja Perusahaan: Kajian Profitabilitas Perusahaan Riil Estat dan Properti di Indonesia","type":"article-journal","volume":"10"},"uris":["http://www.mendeley.com/documents/?uuid=0b4ea25e-93ed-4e6c-bd6a-e31375c8c125"]}],"mendeley":{"formattedCitation":"[4], [5]","plainTextFormattedCitation":"[4], [5]","previouslyFormattedCitation":"(Rahma, 2020; Simanjuntak,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4" w:history="1">
        <w:r w:rsidR="007C665C" w:rsidRPr="00A50E7E">
          <w:rPr>
            <w:rStyle w:val="Hyperlink"/>
            <w:bCs/>
            <w:szCs w:val="20"/>
            <w:u w:val="none"/>
            <w:lang w:val="id-ID"/>
          </w:rPr>
          <w:t>4</w:t>
        </w:r>
      </w:hyperlink>
      <w:r w:rsidR="007C665C" w:rsidRPr="00A50E7E">
        <w:rPr>
          <w:bCs/>
          <w:color w:val="000000"/>
          <w:szCs w:val="20"/>
          <w:lang w:val="id-ID"/>
        </w:rPr>
        <w:t>], [</w:t>
      </w:r>
      <w:hyperlink w:anchor="a5" w:history="1">
        <w:r w:rsidR="007C665C" w:rsidRPr="00A50E7E">
          <w:rPr>
            <w:rStyle w:val="Hyperlink"/>
            <w:bCs/>
            <w:szCs w:val="20"/>
            <w:u w:val="none"/>
            <w:lang w:val="id-ID"/>
          </w:rPr>
          <w:t>5</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w:t>
      </w:r>
    </w:p>
    <w:p w14:paraId="50FAC92B" w14:textId="61E14DE7" w:rsidR="00E634F5" w:rsidRPr="00A50E7E" w:rsidRDefault="00961222" w:rsidP="00286CFF">
      <w:pPr>
        <w:spacing w:before="120" w:after="120"/>
        <w:jc w:val="center"/>
        <w:rPr>
          <w:bCs/>
          <w:color w:val="000000"/>
          <w:szCs w:val="20"/>
          <w:lang w:val="id-ID"/>
        </w:rPr>
      </w:pPr>
      <w:r w:rsidRPr="00A50E7E">
        <w:rPr>
          <w:bCs/>
          <w:noProof/>
          <w:color w:val="000000"/>
          <w:szCs w:val="20"/>
          <w:lang w:val="id-ID"/>
        </w:rPr>
        <mc:AlternateContent>
          <mc:Choice Requires="wpg">
            <w:drawing>
              <wp:inline distT="0" distB="0" distL="0" distR="0" wp14:anchorId="3EEB4616" wp14:editId="0D85D24B">
                <wp:extent cx="2567940" cy="1541780"/>
                <wp:effectExtent l="6985" t="6985" r="6350" b="1333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940" cy="1541780"/>
                          <a:chOff x="0" y="0"/>
                          <a:chExt cx="4591050" cy="2762250"/>
                        </a:xfrm>
                      </wpg:grpSpPr>
                      <wps:wsp>
                        <wps:cNvPr id="4" name="Graphic 6"/>
                        <wps:cNvSpPr>
                          <a:spLocks/>
                        </wps:cNvSpPr>
                        <wps:spPr bwMode="auto">
                          <a:xfrm>
                            <a:off x="265049" y="149225"/>
                            <a:ext cx="4061460" cy="2317115"/>
                          </a:xfrm>
                          <a:custGeom>
                            <a:avLst/>
                            <a:gdLst>
                              <a:gd name="T0" fmla="*/ 4060952 w 4061460"/>
                              <a:gd name="T1" fmla="*/ 0 h 2317115"/>
                              <a:gd name="T2" fmla="*/ 0 w 4061460"/>
                              <a:gd name="T3" fmla="*/ 0 h 2317115"/>
                              <a:gd name="T4" fmla="*/ 0 w 4061460"/>
                              <a:gd name="T5" fmla="*/ 2316988 h 2317115"/>
                              <a:gd name="T6" fmla="*/ 4060952 w 4061460"/>
                              <a:gd name="T7" fmla="*/ 2316988 h 2317115"/>
                              <a:gd name="T8" fmla="*/ 4060952 w 4061460"/>
                              <a:gd name="T9" fmla="*/ 0 h 2317115"/>
                            </a:gdLst>
                            <a:ahLst/>
                            <a:cxnLst>
                              <a:cxn ang="0">
                                <a:pos x="T0" y="T1"/>
                              </a:cxn>
                              <a:cxn ang="0">
                                <a:pos x="T2" y="T3"/>
                              </a:cxn>
                              <a:cxn ang="0">
                                <a:pos x="T4" y="T5"/>
                              </a:cxn>
                              <a:cxn ang="0">
                                <a:pos x="T6" y="T7"/>
                              </a:cxn>
                              <a:cxn ang="0">
                                <a:pos x="T8" y="T9"/>
                              </a:cxn>
                            </a:cxnLst>
                            <a:rect l="0" t="0" r="r" b="b"/>
                            <a:pathLst>
                              <a:path w="4061460" h="2317115">
                                <a:moveTo>
                                  <a:pt x="4060952" y="0"/>
                                </a:moveTo>
                                <a:lnTo>
                                  <a:pt x="0" y="0"/>
                                </a:lnTo>
                                <a:lnTo>
                                  <a:pt x="0" y="2316988"/>
                                </a:lnTo>
                                <a:lnTo>
                                  <a:pt x="4060952" y="2316988"/>
                                </a:lnTo>
                                <a:lnTo>
                                  <a:pt x="4060952"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 name="Graphic 7"/>
                        <wps:cNvSpPr>
                          <a:spLocks/>
                        </wps:cNvSpPr>
                        <wps:spPr bwMode="auto">
                          <a:xfrm>
                            <a:off x="265049" y="149225"/>
                            <a:ext cx="4061460" cy="2317115"/>
                          </a:xfrm>
                          <a:custGeom>
                            <a:avLst/>
                            <a:gdLst>
                              <a:gd name="T0" fmla="*/ 0 w 4061460"/>
                              <a:gd name="T1" fmla="*/ 1986787 h 2317115"/>
                              <a:gd name="T2" fmla="*/ 4060952 w 4061460"/>
                              <a:gd name="T3" fmla="*/ 1986787 h 2317115"/>
                              <a:gd name="T4" fmla="*/ 0 w 4061460"/>
                              <a:gd name="T5" fmla="*/ 1654047 h 2317115"/>
                              <a:gd name="T6" fmla="*/ 4060952 w 4061460"/>
                              <a:gd name="T7" fmla="*/ 1654047 h 2317115"/>
                              <a:gd name="T8" fmla="*/ 0 w 4061460"/>
                              <a:gd name="T9" fmla="*/ 1323847 h 2317115"/>
                              <a:gd name="T10" fmla="*/ 4060952 w 4061460"/>
                              <a:gd name="T11" fmla="*/ 1323847 h 2317115"/>
                              <a:gd name="T12" fmla="*/ 0 w 4061460"/>
                              <a:gd name="T13" fmla="*/ 993647 h 2317115"/>
                              <a:gd name="T14" fmla="*/ 4060952 w 4061460"/>
                              <a:gd name="T15" fmla="*/ 993647 h 2317115"/>
                              <a:gd name="T16" fmla="*/ 0 w 4061460"/>
                              <a:gd name="T17" fmla="*/ 660907 h 2317115"/>
                              <a:gd name="T18" fmla="*/ 4060952 w 4061460"/>
                              <a:gd name="T19" fmla="*/ 660907 h 2317115"/>
                              <a:gd name="T20" fmla="*/ 0 w 4061460"/>
                              <a:gd name="T21" fmla="*/ 330707 h 2317115"/>
                              <a:gd name="T22" fmla="*/ 4060952 w 4061460"/>
                              <a:gd name="T23" fmla="*/ 330707 h 2317115"/>
                              <a:gd name="T24" fmla="*/ 0 w 4061460"/>
                              <a:gd name="T25" fmla="*/ 0 h 2317115"/>
                              <a:gd name="T26" fmla="*/ 4060952 w 4061460"/>
                              <a:gd name="T27" fmla="*/ 0 h 2317115"/>
                              <a:gd name="T28" fmla="*/ 0 w 4061460"/>
                              <a:gd name="T29" fmla="*/ 0 h 2317115"/>
                              <a:gd name="T30" fmla="*/ 0 w 4061460"/>
                              <a:gd name="T31" fmla="*/ 2316987 h 2317115"/>
                              <a:gd name="T32" fmla="*/ 676020 w 4061460"/>
                              <a:gd name="T33" fmla="*/ 0 h 2317115"/>
                              <a:gd name="T34" fmla="*/ 676020 w 4061460"/>
                              <a:gd name="T35" fmla="*/ 2316987 h 2317115"/>
                              <a:gd name="T36" fmla="*/ 1354201 w 4061460"/>
                              <a:gd name="T37" fmla="*/ 0 h 2317115"/>
                              <a:gd name="T38" fmla="*/ 1354201 w 4061460"/>
                              <a:gd name="T39" fmla="*/ 2316987 h 2317115"/>
                              <a:gd name="T40" fmla="*/ 2029841 w 4061460"/>
                              <a:gd name="T41" fmla="*/ 0 h 2317115"/>
                              <a:gd name="T42" fmla="*/ 2029841 w 4061460"/>
                              <a:gd name="T43" fmla="*/ 2316987 h 2317115"/>
                              <a:gd name="T44" fmla="*/ 2708021 w 4061460"/>
                              <a:gd name="T45" fmla="*/ 0 h 2317115"/>
                              <a:gd name="T46" fmla="*/ 2708021 w 4061460"/>
                              <a:gd name="T47" fmla="*/ 2316987 h 2317115"/>
                              <a:gd name="T48" fmla="*/ 3383660 w 4061460"/>
                              <a:gd name="T49" fmla="*/ 0 h 2317115"/>
                              <a:gd name="T50" fmla="*/ 3383660 w 4061460"/>
                              <a:gd name="T51" fmla="*/ 2316987 h 2317115"/>
                              <a:gd name="T52" fmla="*/ 4060952 w 4061460"/>
                              <a:gd name="T53" fmla="*/ 0 h 2317115"/>
                              <a:gd name="T54" fmla="*/ 4060952 w 4061460"/>
                              <a:gd name="T55" fmla="*/ 2316987 h 2317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61460" h="2317115">
                                <a:moveTo>
                                  <a:pt x="0" y="1986787"/>
                                </a:moveTo>
                                <a:lnTo>
                                  <a:pt x="4060952" y="1986787"/>
                                </a:lnTo>
                              </a:path>
                              <a:path w="4061460" h="2317115">
                                <a:moveTo>
                                  <a:pt x="0" y="1654047"/>
                                </a:moveTo>
                                <a:lnTo>
                                  <a:pt x="4060952" y="1654047"/>
                                </a:lnTo>
                              </a:path>
                              <a:path w="4061460" h="2317115">
                                <a:moveTo>
                                  <a:pt x="0" y="1323847"/>
                                </a:moveTo>
                                <a:lnTo>
                                  <a:pt x="4060952" y="1323847"/>
                                </a:lnTo>
                              </a:path>
                              <a:path w="4061460" h="2317115">
                                <a:moveTo>
                                  <a:pt x="0" y="993647"/>
                                </a:moveTo>
                                <a:lnTo>
                                  <a:pt x="4060952" y="993647"/>
                                </a:lnTo>
                              </a:path>
                              <a:path w="4061460" h="2317115">
                                <a:moveTo>
                                  <a:pt x="0" y="660907"/>
                                </a:moveTo>
                                <a:lnTo>
                                  <a:pt x="4060952" y="660907"/>
                                </a:lnTo>
                              </a:path>
                              <a:path w="4061460" h="2317115">
                                <a:moveTo>
                                  <a:pt x="0" y="330707"/>
                                </a:moveTo>
                                <a:lnTo>
                                  <a:pt x="4060952" y="330707"/>
                                </a:lnTo>
                              </a:path>
                              <a:path w="4061460" h="2317115">
                                <a:moveTo>
                                  <a:pt x="0" y="0"/>
                                </a:moveTo>
                                <a:lnTo>
                                  <a:pt x="4060952" y="0"/>
                                </a:lnTo>
                              </a:path>
                              <a:path w="4061460" h="2317115">
                                <a:moveTo>
                                  <a:pt x="0" y="0"/>
                                </a:moveTo>
                                <a:lnTo>
                                  <a:pt x="0" y="2316987"/>
                                </a:lnTo>
                              </a:path>
                              <a:path w="4061460" h="2317115">
                                <a:moveTo>
                                  <a:pt x="676020" y="0"/>
                                </a:moveTo>
                                <a:lnTo>
                                  <a:pt x="676020" y="2316987"/>
                                </a:lnTo>
                              </a:path>
                              <a:path w="4061460" h="2317115">
                                <a:moveTo>
                                  <a:pt x="1354201" y="0"/>
                                </a:moveTo>
                                <a:lnTo>
                                  <a:pt x="1354201" y="2316987"/>
                                </a:lnTo>
                              </a:path>
                              <a:path w="4061460" h="2317115">
                                <a:moveTo>
                                  <a:pt x="2029841" y="0"/>
                                </a:moveTo>
                                <a:lnTo>
                                  <a:pt x="2029841" y="2316987"/>
                                </a:lnTo>
                              </a:path>
                              <a:path w="4061460" h="2317115">
                                <a:moveTo>
                                  <a:pt x="2708021" y="0"/>
                                </a:moveTo>
                                <a:lnTo>
                                  <a:pt x="2708021" y="2316987"/>
                                </a:lnTo>
                              </a:path>
                              <a:path w="4061460" h="2317115">
                                <a:moveTo>
                                  <a:pt x="3383660" y="0"/>
                                </a:moveTo>
                                <a:lnTo>
                                  <a:pt x="3383660" y="2316987"/>
                                </a:lnTo>
                              </a:path>
                              <a:path w="4061460" h="2317115">
                                <a:moveTo>
                                  <a:pt x="4060952" y="0"/>
                                </a:moveTo>
                                <a:lnTo>
                                  <a:pt x="4060952" y="2316987"/>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Graphic 8"/>
                        <wps:cNvSpPr>
                          <a:spLocks/>
                        </wps:cNvSpPr>
                        <wps:spPr bwMode="auto">
                          <a:xfrm>
                            <a:off x="265049" y="149225"/>
                            <a:ext cx="4061460" cy="2317115"/>
                          </a:xfrm>
                          <a:custGeom>
                            <a:avLst/>
                            <a:gdLst>
                              <a:gd name="T0" fmla="*/ 0 w 4061460"/>
                              <a:gd name="T1" fmla="*/ 2316988 h 2317115"/>
                              <a:gd name="T2" fmla="*/ 4060952 w 4061460"/>
                              <a:gd name="T3" fmla="*/ 2316988 h 2317115"/>
                              <a:gd name="T4" fmla="*/ 4060952 w 4061460"/>
                              <a:gd name="T5" fmla="*/ 0 h 2317115"/>
                              <a:gd name="T6" fmla="*/ 0 w 4061460"/>
                              <a:gd name="T7" fmla="*/ 0 h 2317115"/>
                              <a:gd name="T8" fmla="*/ 0 w 4061460"/>
                              <a:gd name="T9" fmla="*/ 2316988 h 2317115"/>
                            </a:gdLst>
                            <a:ahLst/>
                            <a:cxnLst>
                              <a:cxn ang="0">
                                <a:pos x="T0" y="T1"/>
                              </a:cxn>
                              <a:cxn ang="0">
                                <a:pos x="T2" y="T3"/>
                              </a:cxn>
                              <a:cxn ang="0">
                                <a:pos x="T4" y="T5"/>
                              </a:cxn>
                              <a:cxn ang="0">
                                <a:pos x="T6" y="T7"/>
                              </a:cxn>
                              <a:cxn ang="0">
                                <a:pos x="T8" y="T9"/>
                              </a:cxn>
                            </a:cxnLst>
                            <a:rect l="0" t="0" r="r" b="b"/>
                            <a:pathLst>
                              <a:path w="4061460" h="2317115">
                                <a:moveTo>
                                  <a:pt x="0" y="2316988"/>
                                </a:moveTo>
                                <a:lnTo>
                                  <a:pt x="4060952" y="2316988"/>
                                </a:lnTo>
                                <a:lnTo>
                                  <a:pt x="4060952" y="0"/>
                                </a:lnTo>
                                <a:lnTo>
                                  <a:pt x="0" y="0"/>
                                </a:lnTo>
                                <a:lnTo>
                                  <a:pt x="0" y="2316988"/>
                                </a:lnTo>
                                <a:close/>
                              </a:path>
                            </a:pathLst>
                          </a:custGeom>
                          <a:noFill/>
                          <a:ln w="952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Graphic 9"/>
                        <wps:cNvSpPr>
                          <a:spLocks/>
                        </wps:cNvSpPr>
                        <wps:spPr bwMode="auto">
                          <a:xfrm>
                            <a:off x="265049" y="2466213"/>
                            <a:ext cx="4061460" cy="1270"/>
                          </a:xfrm>
                          <a:custGeom>
                            <a:avLst/>
                            <a:gdLst>
                              <a:gd name="T0" fmla="*/ 0 w 4061460"/>
                              <a:gd name="T1" fmla="*/ 0 h 1270"/>
                              <a:gd name="T2" fmla="*/ 4060952 w 4061460"/>
                              <a:gd name="T3" fmla="*/ 0 h 1270"/>
                            </a:gdLst>
                            <a:ahLst/>
                            <a:cxnLst>
                              <a:cxn ang="0">
                                <a:pos x="T0" y="T1"/>
                              </a:cxn>
                              <a:cxn ang="0">
                                <a:pos x="T2" y="T3"/>
                              </a:cxn>
                            </a:cxnLst>
                            <a:rect l="0" t="0" r="r" b="b"/>
                            <a:pathLst>
                              <a:path w="4061460" h="1270">
                                <a:moveTo>
                                  <a:pt x="0" y="0"/>
                                </a:moveTo>
                                <a:lnTo>
                                  <a:pt x="4060952" y="0"/>
                                </a:lnTo>
                              </a:path>
                            </a:pathLst>
                          </a:custGeom>
                          <a:noFill/>
                          <a:ln w="9525">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 name="Graphic 10"/>
                        <wps:cNvSpPr>
                          <a:spLocks/>
                        </wps:cNvSpPr>
                        <wps:spPr bwMode="auto">
                          <a:xfrm>
                            <a:off x="265049" y="554841"/>
                            <a:ext cx="4061460" cy="1452245"/>
                          </a:xfrm>
                          <a:custGeom>
                            <a:avLst/>
                            <a:gdLst>
                              <a:gd name="T0" fmla="*/ 29420 w 4061460"/>
                              <a:gd name="T1" fmla="*/ 724954 h 1452245"/>
                              <a:gd name="T2" fmla="*/ 88265 w 4061460"/>
                              <a:gd name="T3" fmla="*/ 647033 h 1452245"/>
                              <a:gd name="T4" fmla="*/ 147114 w 4061460"/>
                              <a:gd name="T5" fmla="*/ 560401 h 1452245"/>
                              <a:gd name="T6" fmla="*/ 205966 w 4061460"/>
                              <a:gd name="T7" fmla="*/ 468792 h 1452245"/>
                              <a:gd name="T8" fmla="*/ 264821 w 4061460"/>
                              <a:gd name="T9" fmla="*/ 375940 h 1452245"/>
                              <a:gd name="T10" fmla="*/ 323677 w 4061460"/>
                              <a:gd name="T11" fmla="*/ 285580 h 1452245"/>
                              <a:gd name="T12" fmla="*/ 382533 w 4061460"/>
                              <a:gd name="T13" fmla="*/ 201444 h 1452245"/>
                              <a:gd name="T14" fmla="*/ 441388 w 4061460"/>
                              <a:gd name="T15" fmla="*/ 127269 h 1452245"/>
                              <a:gd name="T16" fmla="*/ 500242 w 4061460"/>
                              <a:gd name="T17" fmla="*/ 66787 h 1452245"/>
                              <a:gd name="T18" fmla="*/ 617940 w 4061460"/>
                              <a:gd name="T19" fmla="*/ 1842 h 1452245"/>
                              <a:gd name="T20" fmla="*/ 676782 w 4061460"/>
                              <a:gd name="T21" fmla="*/ 4847 h 1452245"/>
                              <a:gd name="T22" fmla="*/ 770160 w 4061460"/>
                              <a:gd name="T23" fmla="*/ 75453 h 1452245"/>
                              <a:gd name="T24" fmla="*/ 840187 w 4061460"/>
                              <a:gd name="T25" fmla="*/ 176718 h 1452245"/>
                              <a:gd name="T26" fmla="*/ 886868 w 4061460"/>
                              <a:gd name="T27" fmla="*/ 261360 h 1452245"/>
                              <a:gd name="T28" fmla="*/ 933549 w 4061460"/>
                              <a:gd name="T29" fmla="*/ 356050 h 1452245"/>
                              <a:gd name="T30" fmla="*/ 980228 w 4061460"/>
                              <a:gd name="T31" fmla="*/ 457658 h 1452245"/>
                              <a:gd name="T32" fmla="*/ 1026907 w 4061460"/>
                              <a:gd name="T33" fmla="*/ 563048 h 1452245"/>
                              <a:gd name="T34" fmla="*/ 1073586 w 4061460"/>
                              <a:gd name="T35" fmla="*/ 669088 h 1452245"/>
                              <a:gd name="T36" fmla="*/ 1120266 w 4061460"/>
                              <a:gd name="T37" fmla="*/ 772646 h 1452245"/>
                              <a:gd name="T38" fmla="*/ 1166947 w 4061460"/>
                              <a:gd name="T39" fmla="*/ 870587 h 1452245"/>
                              <a:gd name="T40" fmla="*/ 1213630 w 4061460"/>
                              <a:gd name="T41" fmla="*/ 959779 h 1452245"/>
                              <a:gd name="T42" fmla="*/ 1260315 w 4061460"/>
                              <a:gd name="T43" fmla="*/ 1037089 h 1452245"/>
                              <a:gd name="T44" fmla="*/ 1330347 w 4061460"/>
                              <a:gd name="T45" fmla="*/ 1123921 h 1452245"/>
                              <a:gd name="T46" fmla="*/ 1428881 w 4061460"/>
                              <a:gd name="T47" fmla="*/ 1180499 h 1452245"/>
                              <a:gd name="T48" fmla="*/ 1504077 w 4061460"/>
                              <a:gd name="T49" fmla="*/ 1186769 h 1452245"/>
                              <a:gd name="T50" fmla="*/ 1616879 w 4061460"/>
                              <a:gd name="T51" fmla="*/ 1154765 h 1452245"/>
                              <a:gd name="T52" fmla="*/ 1692084 w 4061460"/>
                              <a:gd name="T53" fmla="*/ 1116589 h 1452245"/>
                              <a:gd name="T54" fmla="*/ 1767289 w 4061460"/>
                              <a:gd name="T55" fmla="*/ 1073555 h 1452245"/>
                              <a:gd name="T56" fmla="*/ 1842492 w 4061460"/>
                              <a:gd name="T57" fmla="*/ 1033043 h 1452245"/>
                              <a:gd name="T58" fmla="*/ 1917690 w 4061460"/>
                              <a:gd name="T59" fmla="*/ 1002439 h 1452245"/>
                              <a:gd name="T60" fmla="*/ 1992882 w 4061460"/>
                              <a:gd name="T61" fmla="*/ 989123 h 1452245"/>
                              <a:gd name="T62" fmla="*/ 2072768 w 4061460"/>
                              <a:gd name="T63" fmla="*/ 999820 h 1452245"/>
                              <a:gd name="T64" fmla="*/ 2157360 w 4061460"/>
                              <a:gd name="T65" fmla="*/ 1029512 h 1452245"/>
                              <a:gd name="T66" fmla="*/ 2241960 w 4061460"/>
                              <a:gd name="T67" fmla="*/ 1072255 h 1452245"/>
                              <a:gd name="T68" fmla="*/ 2326564 w 4061460"/>
                              <a:gd name="T69" fmla="*/ 1123604 h 1452245"/>
                              <a:gd name="T70" fmla="*/ 2411170 w 4061460"/>
                              <a:gd name="T71" fmla="*/ 1179116 h 1452245"/>
                              <a:gd name="T72" fmla="*/ 2495774 w 4061460"/>
                              <a:gd name="T73" fmla="*/ 1234347 h 1452245"/>
                              <a:gd name="T74" fmla="*/ 2580374 w 4061460"/>
                              <a:gd name="T75" fmla="*/ 1284853 h 1452245"/>
                              <a:gd name="T76" fmla="*/ 2664966 w 4061460"/>
                              <a:gd name="T77" fmla="*/ 1326189 h 1452245"/>
                              <a:gd name="T78" fmla="*/ 2755616 w 4061460"/>
                              <a:gd name="T79" fmla="*/ 1357816 h 1452245"/>
                              <a:gd name="T80" fmla="*/ 2852323 w 4061460"/>
                              <a:gd name="T81" fmla="*/ 1387613 h 1452245"/>
                              <a:gd name="T82" fmla="*/ 2949020 w 4061460"/>
                              <a:gd name="T83" fmla="*/ 1413622 h 1452245"/>
                              <a:gd name="T84" fmla="*/ 3045714 w 4061460"/>
                              <a:gd name="T85" fmla="*/ 1434137 h 1452245"/>
                              <a:gd name="T86" fmla="*/ 3142407 w 4061460"/>
                              <a:gd name="T87" fmla="*/ 1447452 h 1452245"/>
                              <a:gd name="T88" fmla="*/ 3239104 w 4061460"/>
                              <a:gd name="T89" fmla="*/ 1451861 h 1452245"/>
                              <a:gd name="T90" fmla="*/ 3335811 w 4061460"/>
                              <a:gd name="T91" fmla="*/ 1445657 h 1452245"/>
                              <a:gd name="T92" fmla="*/ 3429281 w 4061460"/>
                              <a:gd name="T93" fmla="*/ 1427499 h 1452245"/>
                              <a:gd name="T94" fmla="*/ 3519513 w 4061460"/>
                              <a:gd name="T95" fmla="*/ 1396011 h 1452245"/>
                              <a:gd name="T96" fmla="*/ 3609753 w 4061460"/>
                              <a:gd name="T97" fmla="*/ 1353324 h 1452245"/>
                              <a:gd name="T98" fmla="*/ 3699998 w 4061460"/>
                              <a:gd name="T99" fmla="*/ 1302635 h 1452245"/>
                              <a:gd name="T100" fmla="*/ 3790244 w 4061460"/>
                              <a:gd name="T101" fmla="*/ 1247143 h 1452245"/>
                              <a:gd name="T102" fmla="*/ 3880488 w 4061460"/>
                              <a:gd name="T103" fmla="*/ 1190047 h 1452245"/>
                              <a:gd name="T104" fmla="*/ 3970725 w 4061460"/>
                              <a:gd name="T105" fmla="*/ 1134546 h 1452245"/>
                              <a:gd name="T106" fmla="*/ 4060952 w 4061460"/>
                              <a:gd name="T107" fmla="*/ 1083839 h 1452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61460" h="1452245">
                                <a:moveTo>
                                  <a:pt x="0" y="759481"/>
                                </a:moveTo>
                                <a:lnTo>
                                  <a:pt x="29420" y="724954"/>
                                </a:lnTo>
                                <a:lnTo>
                                  <a:pt x="58842" y="687316"/>
                                </a:lnTo>
                                <a:lnTo>
                                  <a:pt x="88265" y="647033"/>
                                </a:lnTo>
                                <a:lnTo>
                                  <a:pt x="117689" y="604573"/>
                                </a:lnTo>
                                <a:lnTo>
                                  <a:pt x="147114" y="560401"/>
                                </a:lnTo>
                                <a:lnTo>
                                  <a:pt x="176540" y="514985"/>
                                </a:lnTo>
                                <a:lnTo>
                                  <a:pt x="205966" y="468792"/>
                                </a:lnTo>
                                <a:lnTo>
                                  <a:pt x="235394" y="422288"/>
                                </a:lnTo>
                                <a:lnTo>
                                  <a:pt x="264821" y="375940"/>
                                </a:lnTo>
                                <a:lnTo>
                                  <a:pt x="294249" y="330215"/>
                                </a:lnTo>
                                <a:lnTo>
                                  <a:pt x="323677" y="285580"/>
                                </a:lnTo>
                                <a:lnTo>
                                  <a:pt x="353105" y="242500"/>
                                </a:lnTo>
                                <a:lnTo>
                                  <a:pt x="382533" y="201444"/>
                                </a:lnTo>
                                <a:lnTo>
                                  <a:pt x="411961" y="162878"/>
                                </a:lnTo>
                                <a:lnTo>
                                  <a:pt x="441388" y="127269"/>
                                </a:lnTo>
                                <a:lnTo>
                                  <a:pt x="470816" y="95083"/>
                                </a:lnTo>
                                <a:lnTo>
                                  <a:pt x="500242" y="66787"/>
                                </a:lnTo>
                                <a:lnTo>
                                  <a:pt x="559093" y="23734"/>
                                </a:lnTo>
                                <a:lnTo>
                                  <a:pt x="617940" y="1842"/>
                                </a:lnTo>
                                <a:lnTo>
                                  <a:pt x="647362" y="0"/>
                                </a:lnTo>
                                <a:lnTo>
                                  <a:pt x="676782" y="4847"/>
                                </a:lnTo>
                                <a:lnTo>
                                  <a:pt x="723473" y="29642"/>
                                </a:lnTo>
                                <a:lnTo>
                                  <a:pt x="770160" y="75453"/>
                                </a:lnTo>
                                <a:lnTo>
                                  <a:pt x="816845" y="139145"/>
                                </a:lnTo>
                                <a:lnTo>
                                  <a:pt x="840187" y="176718"/>
                                </a:lnTo>
                                <a:lnTo>
                                  <a:pt x="863528" y="217587"/>
                                </a:lnTo>
                                <a:lnTo>
                                  <a:pt x="886868" y="261360"/>
                                </a:lnTo>
                                <a:lnTo>
                                  <a:pt x="910209" y="307645"/>
                                </a:lnTo>
                                <a:lnTo>
                                  <a:pt x="933549" y="356050"/>
                                </a:lnTo>
                                <a:lnTo>
                                  <a:pt x="956889" y="406185"/>
                                </a:lnTo>
                                <a:lnTo>
                                  <a:pt x="980228" y="457658"/>
                                </a:lnTo>
                                <a:lnTo>
                                  <a:pt x="1003568" y="510076"/>
                                </a:lnTo>
                                <a:lnTo>
                                  <a:pt x="1026907" y="563048"/>
                                </a:lnTo>
                                <a:lnTo>
                                  <a:pt x="1050247" y="616183"/>
                                </a:lnTo>
                                <a:lnTo>
                                  <a:pt x="1073586" y="669088"/>
                                </a:lnTo>
                                <a:lnTo>
                                  <a:pt x="1096926" y="721373"/>
                                </a:lnTo>
                                <a:lnTo>
                                  <a:pt x="1120266" y="772646"/>
                                </a:lnTo>
                                <a:lnTo>
                                  <a:pt x="1143607" y="822514"/>
                                </a:lnTo>
                                <a:lnTo>
                                  <a:pt x="1166947" y="870587"/>
                                </a:lnTo>
                                <a:lnTo>
                                  <a:pt x="1190288" y="916473"/>
                                </a:lnTo>
                                <a:lnTo>
                                  <a:pt x="1213630" y="959779"/>
                                </a:lnTo>
                                <a:lnTo>
                                  <a:pt x="1236972" y="1000115"/>
                                </a:lnTo>
                                <a:lnTo>
                                  <a:pt x="1260315" y="1037089"/>
                                </a:lnTo>
                                <a:lnTo>
                                  <a:pt x="1283658" y="1070309"/>
                                </a:lnTo>
                                <a:lnTo>
                                  <a:pt x="1330347" y="1123921"/>
                                </a:lnTo>
                                <a:lnTo>
                                  <a:pt x="1391286" y="1166313"/>
                                </a:lnTo>
                                <a:lnTo>
                                  <a:pt x="1428881" y="1180499"/>
                                </a:lnTo>
                                <a:lnTo>
                                  <a:pt x="1466478" y="1187010"/>
                                </a:lnTo>
                                <a:lnTo>
                                  <a:pt x="1504077" y="1186769"/>
                                </a:lnTo>
                                <a:lnTo>
                                  <a:pt x="1579277" y="1169724"/>
                                </a:lnTo>
                                <a:lnTo>
                                  <a:pt x="1616879" y="1154765"/>
                                </a:lnTo>
                                <a:lnTo>
                                  <a:pt x="1654481" y="1136746"/>
                                </a:lnTo>
                                <a:lnTo>
                                  <a:pt x="1692084" y="1116589"/>
                                </a:lnTo>
                                <a:lnTo>
                                  <a:pt x="1729687" y="1095218"/>
                                </a:lnTo>
                                <a:lnTo>
                                  <a:pt x="1767289" y="1073555"/>
                                </a:lnTo>
                                <a:lnTo>
                                  <a:pt x="1804891" y="1052522"/>
                                </a:lnTo>
                                <a:lnTo>
                                  <a:pt x="1842492" y="1033043"/>
                                </a:lnTo>
                                <a:lnTo>
                                  <a:pt x="1880091" y="1016041"/>
                                </a:lnTo>
                                <a:lnTo>
                                  <a:pt x="1917690" y="1002439"/>
                                </a:lnTo>
                                <a:lnTo>
                                  <a:pt x="1955287" y="993159"/>
                                </a:lnTo>
                                <a:lnTo>
                                  <a:pt x="1992882" y="989123"/>
                                </a:lnTo>
                                <a:lnTo>
                                  <a:pt x="2030476" y="991256"/>
                                </a:lnTo>
                                <a:lnTo>
                                  <a:pt x="2072768" y="999820"/>
                                </a:lnTo>
                                <a:lnTo>
                                  <a:pt x="2115063" y="1012757"/>
                                </a:lnTo>
                                <a:lnTo>
                                  <a:pt x="2157360" y="1029512"/>
                                </a:lnTo>
                                <a:lnTo>
                                  <a:pt x="2199659" y="1049530"/>
                                </a:lnTo>
                                <a:lnTo>
                                  <a:pt x="2241960" y="1072255"/>
                                </a:lnTo>
                                <a:lnTo>
                                  <a:pt x="2284262" y="1097131"/>
                                </a:lnTo>
                                <a:lnTo>
                                  <a:pt x="2326564" y="1123604"/>
                                </a:lnTo>
                                <a:lnTo>
                                  <a:pt x="2368867" y="1151118"/>
                                </a:lnTo>
                                <a:lnTo>
                                  <a:pt x="2411170" y="1179116"/>
                                </a:lnTo>
                                <a:lnTo>
                                  <a:pt x="2453472" y="1207045"/>
                                </a:lnTo>
                                <a:lnTo>
                                  <a:pt x="2495774" y="1234347"/>
                                </a:lnTo>
                                <a:lnTo>
                                  <a:pt x="2538075" y="1260469"/>
                                </a:lnTo>
                                <a:lnTo>
                                  <a:pt x="2580374" y="1284853"/>
                                </a:lnTo>
                                <a:lnTo>
                                  <a:pt x="2622671" y="1306945"/>
                                </a:lnTo>
                                <a:lnTo>
                                  <a:pt x="2664966" y="1326189"/>
                                </a:lnTo>
                                <a:lnTo>
                                  <a:pt x="2707259" y="1342030"/>
                                </a:lnTo>
                                <a:lnTo>
                                  <a:pt x="2755616" y="1357816"/>
                                </a:lnTo>
                                <a:lnTo>
                                  <a:pt x="2803971" y="1373081"/>
                                </a:lnTo>
                                <a:lnTo>
                                  <a:pt x="2852323" y="1387613"/>
                                </a:lnTo>
                                <a:lnTo>
                                  <a:pt x="2900672" y="1401198"/>
                                </a:lnTo>
                                <a:lnTo>
                                  <a:pt x="2949020" y="1413622"/>
                                </a:lnTo>
                                <a:lnTo>
                                  <a:pt x="2997367" y="1424673"/>
                                </a:lnTo>
                                <a:lnTo>
                                  <a:pt x="3045714" y="1434137"/>
                                </a:lnTo>
                                <a:lnTo>
                                  <a:pt x="3094060" y="1441801"/>
                                </a:lnTo>
                                <a:lnTo>
                                  <a:pt x="3142407" y="1447452"/>
                                </a:lnTo>
                                <a:lnTo>
                                  <a:pt x="3190755" y="1450876"/>
                                </a:lnTo>
                                <a:lnTo>
                                  <a:pt x="3239104" y="1451861"/>
                                </a:lnTo>
                                <a:lnTo>
                                  <a:pt x="3287456" y="1450192"/>
                                </a:lnTo>
                                <a:lnTo>
                                  <a:pt x="3335811" y="1445657"/>
                                </a:lnTo>
                                <a:lnTo>
                                  <a:pt x="3384169" y="1438042"/>
                                </a:lnTo>
                                <a:lnTo>
                                  <a:pt x="3429281" y="1427499"/>
                                </a:lnTo>
                                <a:lnTo>
                                  <a:pt x="3474395" y="1413355"/>
                                </a:lnTo>
                                <a:lnTo>
                                  <a:pt x="3519513" y="1396011"/>
                                </a:lnTo>
                                <a:lnTo>
                                  <a:pt x="3564632" y="1375868"/>
                                </a:lnTo>
                                <a:lnTo>
                                  <a:pt x="3609753" y="1353324"/>
                                </a:lnTo>
                                <a:lnTo>
                                  <a:pt x="3654876" y="1328780"/>
                                </a:lnTo>
                                <a:lnTo>
                                  <a:pt x="3699998" y="1302635"/>
                                </a:lnTo>
                                <a:lnTo>
                                  <a:pt x="3745122" y="1275289"/>
                                </a:lnTo>
                                <a:lnTo>
                                  <a:pt x="3790244" y="1247143"/>
                                </a:lnTo>
                                <a:lnTo>
                                  <a:pt x="3835367" y="1218596"/>
                                </a:lnTo>
                                <a:lnTo>
                                  <a:pt x="3880488" y="1190047"/>
                                </a:lnTo>
                                <a:lnTo>
                                  <a:pt x="3925607" y="1161898"/>
                                </a:lnTo>
                                <a:lnTo>
                                  <a:pt x="3970725" y="1134546"/>
                                </a:lnTo>
                                <a:lnTo>
                                  <a:pt x="4015839" y="1108394"/>
                                </a:lnTo>
                                <a:lnTo>
                                  <a:pt x="4060952" y="1083839"/>
                                </a:lnTo>
                              </a:path>
                            </a:pathLst>
                          </a:custGeom>
                          <a:noFill/>
                          <a:ln w="1905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Graphic 11"/>
                        <wps:cNvSpPr>
                          <a:spLocks/>
                        </wps:cNvSpPr>
                        <wps:spPr bwMode="auto">
                          <a:xfrm>
                            <a:off x="233045" y="1282064"/>
                            <a:ext cx="63500" cy="63500"/>
                          </a:xfrm>
                          <a:custGeom>
                            <a:avLst/>
                            <a:gdLst>
                              <a:gd name="T0" fmla="*/ 31750 w 63500"/>
                              <a:gd name="T1" fmla="*/ 0 h 63500"/>
                              <a:gd name="T2" fmla="*/ 19395 w 63500"/>
                              <a:gd name="T3" fmla="*/ 2496 h 63500"/>
                              <a:gd name="T4" fmla="*/ 9302 w 63500"/>
                              <a:gd name="T5" fmla="*/ 9302 h 63500"/>
                              <a:gd name="T6" fmla="*/ 2496 w 63500"/>
                              <a:gd name="T7" fmla="*/ 19395 h 63500"/>
                              <a:gd name="T8" fmla="*/ 0 w 63500"/>
                              <a:gd name="T9" fmla="*/ 31750 h 63500"/>
                              <a:gd name="T10" fmla="*/ 2496 w 63500"/>
                              <a:gd name="T11" fmla="*/ 44104 h 63500"/>
                              <a:gd name="T12" fmla="*/ 9302 w 63500"/>
                              <a:gd name="T13" fmla="*/ 54197 h 63500"/>
                              <a:gd name="T14" fmla="*/ 19395 w 63500"/>
                              <a:gd name="T15" fmla="*/ 61003 h 63500"/>
                              <a:gd name="T16" fmla="*/ 31750 w 63500"/>
                              <a:gd name="T17" fmla="*/ 63500 h 63500"/>
                              <a:gd name="T18" fmla="*/ 44104 w 63500"/>
                              <a:gd name="T19" fmla="*/ 61003 h 63500"/>
                              <a:gd name="T20" fmla="*/ 54197 w 63500"/>
                              <a:gd name="T21" fmla="*/ 54197 h 63500"/>
                              <a:gd name="T22" fmla="*/ 61003 w 63500"/>
                              <a:gd name="T23" fmla="*/ 44104 h 63500"/>
                              <a:gd name="T24" fmla="*/ 63500 w 63500"/>
                              <a:gd name="T25" fmla="*/ 31750 h 63500"/>
                              <a:gd name="T26" fmla="*/ 61003 w 63500"/>
                              <a:gd name="T27" fmla="*/ 19395 h 63500"/>
                              <a:gd name="T28" fmla="*/ 54197 w 63500"/>
                              <a:gd name="T29" fmla="*/ 9302 h 63500"/>
                              <a:gd name="T30" fmla="*/ 44104 w 63500"/>
                              <a:gd name="T31" fmla="*/ 2496 h 63500"/>
                              <a:gd name="T32" fmla="*/ 31750 w 63500"/>
                              <a:gd name="T33" fmla="*/ 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500" h="63500">
                                <a:moveTo>
                                  <a:pt x="31750" y="0"/>
                                </a:moveTo>
                                <a:lnTo>
                                  <a:pt x="19395" y="2496"/>
                                </a:lnTo>
                                <a:lnTo>
                                  <a:pt x="9302" y="9302"/>
                                </a:lnTo>
                                <a:lnTo>
                                  <a:pt x="2496" y="19395"/>
                                </a:lnTo>
                                <a:lnTo>
                                  <a:pt x="0" y="31750"/>
                                </a:lnTo>
                                <a:lnTo>
                                  <a:pt x="2496" y="44104"/>
                                </a:lnTo>
                                <a:lnTo>
                                  <a:pt x="9302" y="54197"/>
                                </a:lnTo>
                                <a:lnTo>
                                  <a:pt x="19395" y="61003"/>
                                </a:lnTo>
                                <a:lnTo>
                                  <a:pt x="31750" y="63500"/>
                                </a:lnTo>
                                <a:lnTo>
                                  <a:pt x="44104" y="61003"/>
                                </a:lnTo>
                                <a:lnTo>
                                  <a:pt x="54197" y="54197"/>
                                </a:lnTo>
                                <a:lnTo>
                                  <a:pt x="61003" y="44104"/>
                                </a:lnTo>
                                <a:lnTo>
                                  <a:pt x="63500" y="31750"/>
                                </a:lnTo>
                                <a:lnTo>
                                  <a:pt x="61003" y="19395"/>
                                </a:lnTo>
                                <a:lnTo>
                                  <a:pt x="54197" y="9302"/>
                                </a:lnTo>
                                <a:lnTo>
                                  <a:pt x="44104" y="2496"/>
                                </a:lnTo>
                                <a:lnTo>
                                  <a:pt x="3175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 name="Graphic 12"/>
                        <wps:cNvSpPr>
                          <a:spLocks/>
                        </wps:cNvSpPr>
                        <wps:spPr bwMode="auto">
                          <a:xfrm>
                            <a:off x="233045" y="1282064"/>
                            <a:ext cx="63500" cy="63500"/>
                          </a:xfrm>
                          <a:custGeom>
                            <a:avLst/>
                            <a:gdLst>
                              <a:gd name="T0" fmla="*/ 63500 w 63500"/>
                              <a:gd name="T1" fmla="*/ 31750 h 63500"/>
                              <a:gd name="T2" fmla="*/ 61003 w 63500"/>
                              <a:gd name="T3" fmla="*/ 44104 h 63500"/>
                              <a:gd name="T4" fmla="*/ 54197 w 63500"/>
                              <a:gd name="T5" fmla="*/ 54197 h 63500"/>
                              <a:gd name="T6" fmla="*/ 44104 w 63500"/>
                              <a:gd name="T7" fmla="*/ 61003 h 63500"/>
                              <a:gd name="T8" fmla="*/ 31750 w 63500"/>
                              <a:gd name="T9" fmla="*/ 63500 h 63500"/>
                              <a:gd name="T10" fmla="*/ 19395 w 63500"/>
                              <a:gd name="T11" fmla="*/ 61003 h 63500"/>
                              <a:gd name="T12" fmla="*/ 9302 w 63500"/>
                              <a:gd name="T13" fmla="*/ 54197 h 63500"/>
                              <a:gd name="T14" fmla="*/ 2496 w 63500"/>
                              <a:gd name="T15" fmla="*/ 44104 h 63500"/>
                              <a:gd name="T16" fmla="*/ 0 w 63500"/>
                              <a:gd name="T17" fmla="*/ 31750 h 63500"/>
                              <a:gd name="T18" fmla="*/ 2496 w 63500"/>
                              <a:gd name="T19" fmla="*/ 19395 h 63500"/>
                              <a:gd name="T20" fmla="*/ 9302 w 63500"/>
                              <a:gd name="T21" fmla="*/ 9302 h 63500"/>
                              <a:gd name="T22" fmla="*/ 19395 w 63500"/>
                              <a:gd name="T23" fmla="*/ 2496 h 63500"/>
                              <a:gd name="T24" fmla="*/ 31750 w 63500"/>
                              <a:gd name="T25" fmla="*/ 0 h 63500"/>
                              <a:gd name="T26" fmla="*/ 44104 w 63500"/>
                              <a:gd name="T27" fmla="*/ 2496 h 63500"/>
                              <a:gd name="T28" fmla="*/ 54197 w 63500"/>
                              <a:gd name="T29" fmla="*/ 9302 h 63500"/>
                              <a:gd name="T30" fmla="*/ 61003 w 63500"/>
                              <a:gd name="T31" fmla="*/ 19395 h 63500"/>
                              <a:gd name="T32" fmla="*/ 63500 w 63500"/>
                              <a:gd name="T33" fmla="*/ 3175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500" h="63500">
                                <a:moveTo>
                                  <a:pt x="63500" y="31750"/>
                                </a:moveTo>
                                <a:lnTo>
                                  <a:pt x="61003" y="44104"/>
                                </a:lnTo>
                                <a:lnTo>
                                  <a:pt x="54197" y="54197"/>
                                </a:lnTo>
                                <a:lnTo>
                                  <a:pt x="44104" y="61003"/>
                                </a:lnTo>
                                <a:lnTo>
                                  <a:pt x="31750" y="63500"/>
                                </a:lnTo>
                                <a:lnTo>
                                  <a:pt x="19395" y="61003"/>
                                </a:lnTo>
                                <a:lnTo>
                                  <a:pt x="9302" y="54197"/>
                                </a:lnTo>
                                <a:lnTo>
                                  <a:pt x="2496" y="44104"/>
                                </a:lnTo>
                                <a:lnTo>
                                  <a:pt x="0" y="31750"/>
                                </a:lnTo>
                                <a:lnTo>
                                  <a:pt x="2496" y="19395"/>
                                </a:lnTo>
                                <a:lnTo>
                                  <a:pt x="9302" y="9302"/>
                                </a:lnTo>
                                <a:lnTo>
                                  <a:pt x="19395" y="2496"/>
                                </a:lnTo>
                                <a:lnTo>
                                  <a:pt x="31750" y="0"/>
                                </a:lnTo>
                                <a:lnTo>
                                  <a:pt x="44104" y="2496"/>
                                </a:lnTo>
                                <a:lnTo>
                                  <a:pt x="54197" y="9302"/>
                                </a:lnTo>
                                <a:lnTo>
                                  <a:pt x="61003" y="19395"/>
                                </a:lnTo>
                                <a:lnTo>
                                  <a:pt x="63500" y="31750"/>
                                </a:lnTo>
                                <a:close/>
                              </a:path>
                            </a:pathLst>
                          </a:custGeom>
                          <a:noFill/>
                          <a:ln w="9525">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11" name="Imag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03922" y="520382"/>
                            <a:ext cx="730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Imag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82102" y="1660842"/>
                            <a:ext cx="730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Imag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57742" y="1508442"/>
                            <a:ext cx="730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Imag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935922" y="1858962"/>
                            <a:ext cx="730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Imag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611562" y="1955482"/>
                            <a:ext cx="730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Graphic 18"/>
                        <wps:cNvSpPr>
                          <a:spLocks/>
                        </wps:cNvSpPr>
                        <wps:spPr bwMode="auto">
                          <a:xfrm>
                            <a:off x="4294504" y="1604644"/>
                            <a:ext cx="63500" cy="63500"/>
                          </a:xfrm>
                          <a:custGeom>
                            <a:avLst/>
                            <a:gdLst>
                              <a:gd name="T0" fmla="*/ 31750 w 63500"/>
                              <a:gd name="T1" fmla="*/ 0 h 63500"/>
                              <a:gd name="T2" fmla="*/ 19395 w 63500"/>
                              <a:gd name="T3" fmla="*/ 2496 h 63500"/>
                              <a:gd name="T4" fmla="*/ 9302 w 63500"/>
                              <a:gd name="T5" fmla="*/ 9302 h 63500"/>
                              <a:gd name="T6" fmla="*/ 2496 w 63500"/>
                              <a:gd name="T7" fmla="*/ 19395 h 63500"/>
                              <a:gd name="T8" fmla="*/ 0 w 63500"/>
                              <a:gd name="T9" fmla="*/ 31750 h 63500"/>
                              <a:gd name="T10" fmla="*/ 2496 w 63500"/>
                              <a:gd name="T11" fmla="*/ 44104 h 63500"/>
                              <a:gd name="T12" fmla="*/ 9302 w 63500"/>
                              <a:gd name="T13" fmla="*/ 54197 h 63500"/>
                              <a:gd name="T14" fmla="*/ 19395 w 63500"/>
                              <a:gd name="T15" fmla="*/ 61003 h 63500"/>
                              <a:gd name="T16" fmla="*/ 31750 w 63500"/>
                              <a:gd name="T17" fmla="*/ 63500 h 63500"/>
                              <a:gd name="T18" fmla="*/ 44104 w 63500"/>
                              <a:gd name="T19" fmla="*/ 61003 h 63500"/>
                              <a:gd name="T20" fmla="*/ 54197 w 63500"/>
                              <a:gd name="T21" fmla="*/ 54197 h 63500"/>
                              <a:gd name="T22" fmla="*/ 61003 w 63500"/>
                              <a:gd name="T23" fmla="*/ 44104 h 63500"/>
                              <a:gd name="T24" fmla="*/ 63500 w 63500"/>
                              <a:gd name="T25" fmla="*/ 31750 h 63500"/>
                              <a:gd name="T26" fmla="*/ 61003 w 63500"/>
                              <a:gd name="T27" fmla="*/ 19395 h 63500"/>
                              <a:gd name="T28" fmla="*/ 54197 w 63500"/>
                              <a:gd name="T29" fmla="*/ 9302 h 63500"/>
                              <a:gd name="T30" fmla="*/ 44104 w 63500"/>
                              <a:gd name="T31" fmla="*/ 2496 h 63500"/>
                              <a:gd name="T32" fmla="*/ 31750 w 63500"/>
                              <a:gd name="T33" fmla="*/ 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500" h="63500">
                                <a:moveTo>
                                  <a:pt x="31750" y="0"/>
                                </a:moveTo>
                                <a:lnTo>
                                  <a:pt x="19395" y="2496"/>
                                </a:lnTo>
                                <a:lnTo>
                                  <a:pt x="9302" y="9302"/>
                                </a:lnTo>
                                <a:lnTo>
                                  <a:pt x="2496" y="19395"/>
                                </a:lnTo>
                                <a:lnTo>
                                  <a:pt x="0" y="31750"/>
                                </a:lnTo>
                                <a:lnTo>
                                  <a:pt x="2496" y="44104"/>
                                </a:lnTo>
                                <a:lnTo>
                                  <a:pt x="9302" y="54197"/>
                                </a:lnTo>
                                <a:lnTo>
                                  <a:pt x="19395" y="61003"/>
                                </a:lnTo>
                                <a:lnTo>
                                  <a:pt x="31750" y="63500"/>
                                </a:lnTo>
                                <a:lnTo>
                                  <a:pt x="44104" y="61003"/>
                                </a:lnTo>
                                <a:lnTo>
                                  <a:pt x="54197" y="54197"/>
                                </a:lnTo>
                                <a:lnTo>
                                  <a:pt x="61003" y="44104"/>
                                </a:lnTo>
                                <a:lnTo>
                                  <a:pt x="63500" y="31750"/>
                                </a:lnTo>
                                <a:lnTo>
                                  <a:pt x="61003" y="19395"/>
                                </a:lnTo>
                                <a:lnTo>
                                  <a:pt x="54197" y="9302"/>
                                </a:lnTo>
                                <a:lnTo>
                                  <a:pt x="44104" y="2496"/>
                                </a:lnTo>
                                <a:lnTo>
                                  <a:pt x="3175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7" name="Graphic 19"/>
                        <wps:cNvSpPr>
                          <a:spLocks/>
                        </wps:cNvSpPr>
                        <wps:spPr bwMode="auto">
                          <a:xfrm>
                            <a:off x="4294504" y="1604644"/>
                            <a:ext cx="63500" cy="63500"/>
                          </a:xfrm>
                          <a:custGeom>
                            <a:avLst/>
                            <a:gdLst>
                              <a:gd name="T0" fmla="*/ 63500 w 63500"/>
                              <a:gd name="T1" fmla="*/ 31750 h 63500"/>
                              <a:gd name="T2" fmla="*/ 61003 w 63500"/>
                              <a:gd name="T3" fmla="*/ 44104 h 63500"/>
                              <a:gd name="T4" fmla="*/ 54197 w 63500"/>
                              <a:gd name="T5" fmla="*/ 54197 h 63500"/>
                              <a:gd name="T6" fmla="*/ 44104 w 63500"/>
                              <a:gd name="T7" fmla="*/ 61003 h 63500"/>
                              <a:gd name="T8" fmla="*/ 31750 w 63500"/>
                              <a:gd name="T9" fmla="*/ 63500 h 63500"/>
                              <a:gd name="T10" fmla="*/ 19395 w 63500"/>
                              <a:gd name="T11" fmla="*/ 61003 h 63500"/>
                              <a:gd name="T12" fmla="*/ 9302 w 63500"/>
                              <a:gd name="T13" fmla="*/ 54197 h 63500"/>
                              <a:gd name="T14" fmla="*/ 2496 w 63500"/>
                              <a:gd name="T15" fmla="*/ 44104 h 63500"/>
                              <a:gd name="T16" fmla="*/ 0 w 63500"/>
                              <a:gd name="T17" fmla="*/ 31750 h 63500"/>
                              <a:gd name="T18" fmla="*/ 2496 w 63500"/>
                              <a:gd name="T19" fmla="*/ 19395 h 63500"/>
                              <a:gd name="T20" fmla="*/ 9302 w 63500"/>
                              <a:gd name="T21" fmla="*/ 9302 h 63500"/>
                              <a:gd name="T22" fmla="*/ 19395 w 63500"/>
                              <a:gd name="T23" fmla="*/ 2496 h 63500"/>
                              <a:gd name="T24" fmla="*/ 31750 w 63500"/>
                              <a:gd name="T25" fmla="*/ 0 h 63500"/>
                              <a:gd name="T26" fmla="*/ 44104 w 63500"/>
                              <a:gd name="T27" fmla="*/ 2496 h 63500"/>
                              <a:gd name="T28" fmla="*/ 54197 w 63500"/>
                              <a:gd name="T29" fmla="*/ 9302 h 63500"/>
                              <a:gd name="T30" fmla="*/ 61003 w 63500"/>
                              <a:gd name="T31" fmla="*/ 19395 h 63500"/>
                              <a:gd name="T32" fmla="*/ 63500 w 63500"/>
                              <a:gd name="T33" fmla="*/ 3175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500" h="63500">
                                <a:moveTo>
                                  <a:pt x="63500" y="31750"/>
                                </a:moveTo>
                                <a:lnTo>
                                  <a:pt x="61003" y="44104"/>
                                </a:lnTo>
                                <a:lnTo>
                                  <a:pt x="54197" y="54197"/>
                                </a:lnTo>
                                <a:lnTo>
                                  <a:pt x="44104" y="61003"/>
                                </a:lnTo>
                                <a:lnTo>
                                  <a:pt x="31750" y="63500"/>
                                </a:lnTo>
                                <a:lnTo>
                                  <a:pt x="19395" y="61003"/>
                                </a:lnTo>
                                <a:lnTo>
                                  <a:pt x="9302" y="54197"/>
                                </a:lnTo>
                                <a:lnTo>
                                  <a:pt x="2496" y="44104"/>
                                </a:lnTo>
                                <a:lnTo>
                                  <a:pt x="0" y="31750"/>
                                </a:lnTo>
                                <a:lnTo>
                                  <a:pt x="2496" y="19395"/>
                                </a:lnTo>
                                <a:lnTo>
                                  <a:pt x="9302" y="9302"/>
                                </a:lnTo>
                                <a:lnTo>
                                  <a:pt x="19395" y="2496"/>
                                </a:lnTo>
                                <a:lnTo>
                                  <a:pt x="31750" y="0"/>
                                </a:lnTo>
                                <a:lnTo>
                                  <a:pt x="44104" y="2496"/>
                                </a:lnTo>
                                <a:lnTo>
                                  <a:pt x="54197" y="9302"/>
                                </a:lnTo>
                                <a:lnTo>
                                  <a:pt x="61003" y="19395"/>
                                </a:lnTo>
                                <a:lnTo>
                                  <a:pt x="63500" y="31750"/>
                                </a:lnTo>
                                <a:close/>
                              </a:path>
                            </a:pathLst>
                          </a:custGeom>
                          <a:noFill/>
                          <a:ln w="9525">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 name="Graphic 20"/>
                        <wps:cNvSpPr>
                          <a:spLocks/>
                        </wps:cNvSpPr>
                        <wps:spPr bwMode="auto">
                          <a:xfrm>
                            <a:off x="265049" y="1314322"/>
                            <a:ext cx="4061460" cy="324485"/>
                          </a:xfrm>
                          <a:custGeom>
                            <a:avLst/>
                            <a:gdLst>
                              <a:gd name="T0" fmla="*/ 0 w 4061460"/>
                              <a:gd name="T1" fmla="*/ 0 h 324485"/>
                              <a:gd name="T2" fmla="*/ 71500 w 4061460"/>
                              <a:gd name="T3" fmla="*/ 44577 h 324485"/>
                              <a:gd name="T4" fmla="*/ 127507 w 4061460"/>
                              <a:gd name="T5" fmla="*/ 44577 h 324485"/>
                              <a:gd name="T6" fmla="*/ 4060952 w 4061460"/>
                              <a:gd name="T7" fmla="*/ 324358 h 324485"/>
                              <a:gd name="T8" fmla="*/ 4046601 w 4061460"/>
                              <a:gd name="T9" fmla="*/ 157987 h 324485"/>
                              <a:gd name="T10" fmla="*/ 3989324 w 4061460"/>
                              <a:gd name="T11" fmla="*/ 157987 h 324485"/>
                            </a:gdLst>
                            <a:ahLst/>
                            <a:cxnLst>
                              <a:cxn ang="0">
                                <a:pos x="T0" y="T1"/>
                              </a:cxn>
                              <a:cxn ang="0">
                                <a:pos x="T2" y="T3"/>
                              </a:cxn>
                              <a:cxn ang="0">
                                <a:pos x="T4" y="T5"/>
                              </a:cxn>
                              <a:cxn ang="0">
                                <a:pos x="T6" y="T7"/>
                              </a:cxn>
                              <a:cxn ang="0">
                                <a:pos x="T8" y="T9"/>
                              </a:cxn>
                              <a:cxn ang="0">
                                <a:pos x="T10" y="T11"/>
                              </a:cxn>
                            </a:cxnLst>
                            <a:rect l="0" t="0" r="r" b="b"/>
                            <a:pathLst>
                              <a:path w="4061460" h="324485">
                                <a:moveTo>
                                  <a:pt x="0" y="0"/>
                                </a:moveTo>
                                <a:lnTo>
                                  <a:pt x="71500" y="44577"/>
                                </a:lnTo>
                                <a:lnTo>
                                  <a:pt x="127507" y="44577"/>
                                </a:lnTo>
                              </a:path>
                              <a:path w="4061460" h="324485">
                                <a:moveTo>
                                  <a:pt x="4060952" y="324358"/>
                                </a:moveTo>
                                <a:lnTo>
                                  <a:pt x="4046601" y="157987"/>
                                </a:lnTo>
                                <a:lnTo>
                                  <a:pt x="3989324" y="157987"/>
                                </a:lnTo>
                              </a:path>
                            </a:pathLst>
                          </a:custGeom>
                          <a:noFill/>
                          <a:ln w="9525">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 name="Graphic 21"/>
                        <wps:cNvSpPr>
                          <a:spLocks/>
                        </wps:cNvSpPr>
                        <wps:spPr bwMode="auto">
                          <a:xfrm>
                            <a:off x="9525" y="9525"/>
                            <a:ext cx="4572000" cy="2743200"/>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Lst>
                            <a:ahLst/>
                            <a:cxnLst>
                              <a:cxn ang="0">
                                <a:pos x="T0" y="T1"/>
                              </a:cxn>
                              <a:cxn ang="0">
                                <a:pos x="T2" y="T3"/>
                              </a:cxn>
                              <a:cxn ang="0">
                                <a:pos x="T4" y="T5"/>
                              </a:cxn>
                              <a:cxn ang="0">
                                <a:pos x="T6" y="T7"/>
                              </a:cxn>
                              <a:cxn ang="0">
                                <a:pos x="T8" y="T9"/>
                              </a:cxn>
                            </a:cxnLst>
                            <a:rect l="0" t="0" r="r" b="b"/>
                            <a:pathLst>
                              <a:path w="4572000" h="2743200">
                                <a:moveTo>
                                  <a:pt x="0" y="2743200"/>
                                </a:moveTo>
                                <a:lnTo>
                                  <a:pt x="4572000" y="2743200"/>
                                </a:lnTo>
                                <a:lnTo>
                                  <a:pt x="4572000" y="0"/>
                                </a:lnTo>
                                <a:lnTo>
                                  <a:pt x="0" y="0"/>
                                </a:lnTo>
                                <a:lnTo>
                                  <a:pt x="0" y="274320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 name="Textbox 22"/>
                        <wps:cNvSpPr txBox="1">
                          <a:spLocks noChangeArrowheads="1"/>
                        </wps:cNvSpPr>
                        <wps:spPr bwMode="auto">
                          <a:xfrm>
                            <a:off x="4211954"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1C49" w14:textId="77777777" w:rsidR="00E634F5" w:rsidRDefault="00E634F5" w:rsidP="00E634F5">
                              <w:pPr>
                                <w:spacing w:line="181" w:lineRule="exact"/>
                                <w:rPr>
                                  <w:rFonts w:ascii="Calibri"/>
                                  <w:b/>
                                  <w:sz w:val="18"/>
                                </w:rPr>
                              </w:pPr>
                              <w:r>
                                <w:rPr>
                                  <w:rFonts w:ascii="Calibri"/>
                                  <w:b/>
                                  <w:spacing w:val="-4"/>
                                  <w:sz w:val="18"/>
                                </w:rPr>
                                <w:t>2024</w:t>
                              </w:r>
                            </w:p>
                          </w:txbxContent>
                        </wps:txbx>
                        <wps:bodyPr rot="0" vert="horz" wrap="square" lIns="0" tIns="0" rIns="0" bIns="0" anchor="t" anchorCtr="0" upright="1">
                          <a:noAutofit/>
                        </wps:bodyPr>
                      </wps:wsp>
                      <wps:wsp>
                        <wps:cNvPr id="21" name="Textbox 23"/>
                        <wps:cNvSpPr txBox="1">
                          <a:spLocks noChangeArrowheads="1"/>
                        </wps:cNvSpPr>
                        <wps:spPr bwMode="auto">
                          <a:xfrm>
                            <a:off x="3535045"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9EF8" w14:textId="77777777" w:rsidR="00E634F5" w:rsidRDefault="00E634F5" w:rsidP="00E634F5">
                              <w:pPr>
                                <w:spacing w:line="181" w:lineRule="exact"/>
                                <w:rPr>
                                  <w:rFonts w:ascii="Calibri"/>
                                  <w:b/>
                                  <w:sz w:val="18"/>
                                </w:rPr>
                              </w:pPr>
                              <w:r>
                                <w:rPr>
                                  <w:rFonts w:ascii="Calibri"/>
                                  <w:b/>
                                  <w:spacing w:val="-4"/>
                                  <w:sz w:val="18"/>
                                </w:rPr>
                                <w:t>2023</w:t>
                              </w:r>
                            </w:p>
                          </w:txbxContent>
                        </wps:txbx>
                        <wps:bodyPr rot="0" vert="horz" wrap="square" lIns="0" tIns="0" rIns="0" bIns="0" anchor="t" anchorCtr="0" upright="1">
                          <a:noAutofit/>
                        </wps:bodyPr>
                      </wps:wsp>
                      <wps:wsp>
                        <wps:cNvPr id="22" name="Textbox 24"/>
                        <wps:cNvSpPr txBox="1">
                          <a:spLocks noChangeArrowheads="1"/>
                        </wps:cNvSpPr>
                        <wps:spPr bwMode="auto">
                          <a:xfrm>
                            <a:off x="2857880"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8345A" w14:textId="77777777" w:rsidR="00E634F5" w:rsidRDefault="00E634F5" w:rsidP="00E634F5">
                              <w:pPr>
                                <w:spacing w:line="181" w:lineRule="exact"/>
                                <w:rPr>
                                  <w:rFonts w:ascii="Calibri"/>
                                  <w:b/>
                                  <w:sz w:val="18"/>
                                </w:rPr>
                              </w:pPr>
                              <w:r>
                                <w:rPr>
                                  <w:rFonts w:ascii="Calibri"/>
                                  <w:b/>
                                  <w:spacing w:val="-4"/>
                                  <w:sz w:val="18"/>
                                </w:rPr>
                                <w:t>2022</w:t>
                              </w:r>
                            </w:p>
                          </w:txbxContent>
                        </wps:txbx>
                        <wps:bodyPr rot="0" vert="horz" wrap="square" lIns="0" tIns="0" rIns="0" bIns="0" anchor="t" anchorCtr="0" upright="1">
                          <a:noAutofit/>
                        </wps:bodyPr>
                      </wps:wsp>
                      <wps:wsp>
                        <wps:cNvPr id="23" name="Textbox 25"/>
                        <wps:cNvSpPr txBox="1">
                          <a:spLocks noChangeArrowheads="1"/>
                        </wps:cNvSpPr>
                        <wps:spPr bwMode="auto">
                          <a:xfrm>
                            <a:off x="2180844"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635B" w14:textId="77777777" w:rsidR="00E634F5" w:rsidRDefault="00E634F5" w:rsidP="00E634F5">
                              <w:pPr>
                                <w:spacing w:line="181" w:lineRule="exact"/>
                                <w:rPr>
                                  <w:rFonts w:ascii="Calibri"/>
                                  <w:b/>
                                  <w:sz w:val="18"/>
                                </w:rPr>
                              </w:pPr>
                              <w:r>
                                <w:rPr>
                                  <w:rFonts w:ascii="Calibri"/>
                                  <w:b/>
                                  <w:spacing w:val="-4"/>
                                  <w:sz w:val="18"/>
                                </w:rPr>
                                <w:t>2021</w:t>
                              </w:r>
                            </w:p>
                          </w:txbxContent>
                        </wps:txbx>
                        <wps:bodyPr rot="0" vert="horz" wrap="square" lIns="0" tIns="0" rIns="0" bIns="0" anchor="t" anchorCtr="0" upright="1">
                          <a:noAutofit/>
                        </wps:bodyPr>
                      </wps:wsp>
                      <wps:wsp>
                        <wps:cNvPr id="24" name="Textbox 26"/>
                        <wps:cNvSpPr txBox="1">
                          <a:spLocks noChangeArrowheads="1"/>
                        </wps:cNvSpPr>
                        <wps:spPr bwMode="auto">
                          <a:xfrm>
                            <a:off x="1504061"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832E" w14:textId="77777777" w:rsidR="00E634F5" w:rsidRDefault="00E634F5" w:rsidP="00E634F5">
                              <w:pPr>
                                <w:spacing w:line="181" w:lineRule="exact"/>
                                <w:rPr>
                                  <w:rFonts w:ascii="Calibri"/>
                                  <w:b/>
                                  <w:sz w:val="18"/>
                                </w:rPr>
                              </w:pPr>
                              <w:r>
                                <w:rPr>
                                  <w:rFonts w:ascii="Calibri"/>
                                  <w:b/>
                                  <w:spacing w:val="-4"/>
                                  <w:sz w:val="18"/>
                                </w:rPr>
                                <w:t>2020</w:t>
                              </w:r>
                            </w:p>
                          </w:txbxContent>
                        </wps:txbx>
                        <wps:bodyPr rot="0" vert="horz" wrap="square" lIns="0" tIns="0" rIns="0" bIns="0" anchor="t" anchorCtr="0" upright="1">
                          <a:noAutofit/>
                        </wps:bodyPr>
                      </wps:wsp>
                      <wps:wsp>
                        <wps:cNvPr id="25" name="Textbox 27"/>
                        <wps:cNvSpPr txBox="1">
                          <a:spLocks noChangeArrowheads="1"/>
                        </wps:cNvSpPr>
                        <wps:spPr bwMode="auto">
                          <a:xfrm>
                            <a:off x="826769"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BF33" w14:textId="77777777" w:rsidR="00E634F5" w:rsidRDefault="00E634F5" w:rsidP="00E634F5">
                              <w:pPr>
                                <w:spacing w:line="181" w:lineRule="exact"/>
                                <w:rPr>
                                  <w:rFonts w:ascii="Calibri"/>
                                  <w:b/>
                                  <w:sz w:val="18"/>
                                </w:rPr>
                              </w:pPr>
                              <w:r>
                                <w:rPr>
                                  <w:rFonts w:ascii="Calibri"/>
                                  <w:b/>
                                  <w:spacing w:val="-4"/>
                                  <w:sz w:val="18"/>
                                </w:rPr>
                                <w:t>2019</w:t>
                              </w:r>
                            </w:p>
                          </w:txbxContent>
                        </wps:txbx>
                        <wps:bodyPr rot="0" vert="horz" wrap="square" lIns="0" tIns="0" rIns="0" bIns="0" anchor="t" anchorCtr="0" upright="1">
                          <a:noAutofit/>
                        </wps:bodyPr>
                      </wps:wsp>
                      <wps:wsp>
                        <wps:cNvPr id="26" name="Textbox 28"/>
                        <wps:cNvSpPr txBox="1">
                          <a:spLocks noChangeArrowheads="1"/>
                        </wps:cNvSpPr>
                        <wps:spPr bwMode="auto">
                          <a:xfrm>
                            <a:off x="149860" y="2563764"/>
                            <a:ext cx="243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C2FE0" w14:textId="77777777" w:rsidR="00E634F5" w:rsidRDefault="00E634F5" w:rsidP="00E634F5">
                              <w:pPr>
                                <w:spacing w:line="181" w:lineRule="exact"/>
                                <w:rPr>
                                  <w:rFonts w:ascii="Calibri"/>
                                  <w:b/>
                                  <w:sz w:val="18"/>
                                </w:rPr>
                              </w:pPr>
                              <w:r>
                                <w:rPr>
                                  <w:rFonts w:ascii="Calibri"/>
                                  <w:b/>
                                  <w:spacing w:val="-4"/>
                                  <w:sz w:val="18"/>
                                </w:rPr>
                                <w:t>2018</w:t>
                              </w:r>
                            </w:p>
                          </w:txbxContent>
                        </wps:txbx>
                        <wps:bodyPr rot="0" vert="horz" wrap="square" lIns="0" tIns="0" rIns="0" bIns="0" anchor="t" anchorCtr="0" upright="1">
                          <a:noAutofit/>
                        </wps:bodyPr>
                      </wps:wsp>
                      <wps:wsp>
                        <wps:cNvPr id="27" name="Textbox 29"/>
                        <wps:cNvSpPr txBox="1">
                          <a:spLocks noChangeArrowheads="1"/>
                        </wps:cNvSpPr>
                        <wps:spPr bwMode="auto">
                          <a:xfrm>
                            <a:off x="3539109" y="1777238"/>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EF76" w14:textId="77777777" w:rsidR="00E634F5" w:rsidRDefault="00E634F5" w:rsidP="00E634F5">
                              <w:pPr>
                                <w:spacing w:line="200" w:lineRule="exact"/>
                                <w:rPr>
                                  <w:rFonts w:ascii="Calibri"/>
                                  <w:b/>
                                </w:rPr>
                              </w:pPr>
                              <w:r>
                                <w:rPr>
                                  <w:rFonts w:ascii="Calibri"/>
                                  <w:b/>
                                  <w:spacing w:val="-4"/>
                                </w:rPr>
                                <w:t>1,43</w:t>
                              </w:r>
                            </w:p>
                          </w:txbxContent>
                        </wps:txbx>
                        <wps:bodyPr rot="0" vert="horz" wrap="square" lIns="0" tIns="0" rIns="0" bIns="0" anchor="t" anchorCtr="0" upright="1">
                          <a:noAutofit/>
                        </wps:bodyPr>
                      </wps:wsp>
                      <wps:wsp>
                        <wps:cNvPr id="28" name="Textbox 30"/>
                        <wps:cNvSpPr txBox="1">
                          <a:spLocks noChangeArrowheads="1"/>
                        </wps:cNvSpPr>
                        <wps:spPr bwMode="auto">
                          <a:xfrm>
                            <a:off x="2861945" y="1681352"/>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7FE8" w14:textId="77777777" w:rsidR="00E634F5" w:rsidRDefault="00E634F5" w:rsidP="00E634F5">
                              <w:pPr>
                                <w:spacing w:line="200" w:lineRule="exact"/>
                                <w:rPr>
                                  <w:rFonts w:ascii="Calibri"/>
                                  <w:b/>
                                </w:rPr>
                              </w:pPr>
                              <w:r>
                                <w:rPr>
                                  <w:rFonts w:ascii="Calibri"/>
                                  <w:b/>
                                  <w:spacing w:val="-4"/>
                                </w:rPr>
                                <w:t>1,72</w:t>
                              </w:r>
                            </w:p>
                          </w:txbxContent>
                        </wps:txbx>
                        <wps:bodyPr rot="0" vert="horz" wrap="square" lIns="0" tIns="0" rIns="0" bIns="0" anchor="t" anchorCtr="0" upright="1">
                          <a:noAutofit/>
                        </wps:bodyPr>
                      </wps:wsp>
                      <wps:wsp>
                        <wps:cNvPr id="29" name="Textbox 31"/>
                        <wps:cNvSpPr txBox="1">
                          <a:spLocks noChangeArrowheads="1"/>
                        </wps:cNvSpPr>
                        <wps:spPr bwMode="auto">
                          <a:xfrm>
                            <a:off x="4055998" y="1423288"/>
                            <a:ext cx="1733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AEF3" w14:textId="77777777" w:rsidR="00E634F5" w:rsidRDefault="00E634F5" w:rsidP="00E634F5">
                              <w:pPr>
                                <w:spacing w:line="200" w:lineRule="exact"/>
                                <w:rPr>
                                  <w:rFonts w:ascii="Calibri"/>
                                  <w:b/>
                                </w:rPr>
                              </w:pPr>
                              <w:r>
                                <w:rPr>
                                  <w:rFonts w:ascii="Calibri"/>
                                  <w:b/>
                                  <w:spacing w:val="-5"/>
                                </w:rPr>
                                <w:t>2,5</w:t>
                              </w:r>
                            </w:p>
                          </w:txbxContent>
                        </wps:txbx>
                        <wps:bodyPr rot="0" vert="horz" wrap="square" lIns="0" tIns="0" rIns="0" bIns="0" anchor="t" anchorCtr="0" upright="1">
                          <a:noAutofit/>
                        </wps:bodyPr>
                      </wps:wsp>
                      <wps:wsp>
                        <wps:cNvPr id="30" name="Textbox 32"/>
                        <wps:cNvSpPr txBox="1">
                          <a:spLocks noChangeArrowheads="1"/>
                        </wps:cNvSpPr>
                        <wps:spPr bwMode="auto">
                          <a:xfrm>
                            <a:off x="1507871" y="1482597"/>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D332" w14:textId="77777777" w:rsidR="00E634F5" w:rsidRDefault="00E634F5" w:rsidP="00E634F5">
                              <w:pPr>
                                <w:spacing w:line="200" w:lineRule="exact"/>
                                <w:rPr>
                                  <w:rFonts w:ascii="Calibri"/>
                                  <w:b/>
                                </w:rPr>
                              </w:pPr>
                              <w:r>
                                <w:rPr>
                                  <w:rFonts w:ascii="Calibri"/>
                                  <w:b/>
                                  <w:spacing w:val="-4"/>
                                </w:rPr>
                                <w:t>2,32</w:t>
                              </w:r>
                            </w:p>
                          </w:txbxContent>
                        </wps:txbx>
                        <wps:bodyPr rot="0" vert="horz" wrap="square" lIns="0" tIns="0" rIns="0" bIns="0" anchor="t" anchorCtr="0" upright="1">
                          <a:noAutofit/>
                        </wps:bodyPr>
                      </wps:wsp>
                      <wps:wsp>
                        <wps:cNvPr id="31" name="Textbox 33"/>
                        <wps:cNvSpPr txBox="1">
                          <a:spLocks noChangeArrowheads="1"/>
                        </wps:cNvSpPr>
                        <wps:spPr bwMode="auto">
                          <a:xfrm>
                            <a:off x="2185035" y="1330452"/>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041F2" w14:textId="77777777" w:rsidR="00E634F5" w:rsidRDefault="00E634F5" w:rsidP="00E634F5">
                              <w:pPr>
                                <w:spacing w:line="200" w:lineRule="exact"/>
                                <w:rPr>
                                  <w:rFonts w:ascii="Calibri"/>
                                  <w:b/>
                                </w:rPr>
                              </w:pPr>
                              <w:r>
                                <w:rPr>
                                  <w:rFonts w:ascii="Calibri"/>
                                  <w:b/>
                                  <w:spacing w:val="-4"/>
                                </w:rPr>
                                <w:t>2,78</w:t>
                              </w:r>
                            </w:p>
                          </w:txbxContent>
                        </wps:txbx>
                        <wps:bodyPr rot="0" vert="horz" wrap="square" lIns="0" tIns="0" rIns="0" bIns="0" anchor="t" anchorCtr="0" upright="1">
                          <a:noAutofit/>
                        </wps:bodyPr>
                      </wps:wsp>
                      <wps:wsp>
                        <wps:cNvPr id="32" name="Textbox 34"/>
                        <wps:cNvSpPr txBox="1">
                          <a:spLocks noChangeArrowheads="1"/>
                        </wps:cNvSpPr>
                        <wps:spPr bwMode="auto">
                          <a:xfrm>
                            <a:off x="432434" y="1309624"/>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C5F6" w14:textId="77777777" w:rsidR="00E634F5" w:rsidRDefault="00E634F5" w:rsidP="00E634F5">
                              <w:pPr>
                                <w:spacing w:line="200" w:lineRule="exact"/>
                                <w:rPr>
                                  <w:rFonts w:ascii="Calibri"/>
                                  <w:b/>
                                </w:rPr>
                              </w:pPr>
                              <w:r>
                                <w:rPr>
                                  <w:rFonts w:ascii="Calibri"/>
                                  <w:b/>
                                  <w:spacing w:val="-4"/>
                                </w:rPr>
                                <w:t>3,48</w:t>
                              </w:r>
                            </w:p>
                          </w:txbxContent>
                        </wps:txbx>
                        <wps:bodyPr rot="0" vert="horz" wrap="square" lIns="0" tIns="0" rIns="0" bIns="0" anchor="t" anchorCtr="0" upright="1">
                          <a:noAutofit/>
                        </wps:bodyPr>
                      </wps:wsp>
                      <wps:wsp>
                        <wps:cNvPr id="33" name="Textbox 35"/>
                        <wps:cNvSpPr txBox="1">
                          <a:spLocks noChangeArrowheads="1"/>
                        </wps:cNvSpPr>
                        <wps:spPr bwMode="auto">
                          <a:xfrm>
                            <a:off x="830833" y="343788"/>
                            <a:ext cx="237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78C9" w14:textId="77777777" w:rsidR="00E634F5" w:rsidRDefault="00E634F5" w:rsidP="00E634F5">
                              <w:pPr>
                                <w:spacing w:line="200" w:lineRule="exact"/>
                                <w:rPr>
                                  <w:rFonts w:ascii="Calibri"/>
                                  <w:b/>
                                </w:rPr>
                              </w:pPr>
                              <w:r>
                                <w:rPr>
                                  <w:rFonts w:ascii="Calibri"/>
                                  <w:b/>
                                  <w:spacing w:val="-4"/>
                                </w:rPr>
                                <w:t>5,76</w:t>
                              </w:r>
                            </w:p>
                          </w:txbxContent>
                        </wps:txbx>
                        <wps:bodyPr rot="0" vert="horz" wrap="square" lIns="0" tIns="0" rIns="0" bIns="0" anchor="t" anchorCtr="0" upright="1">
                          <a:noAutofit/>
                        </wps:bodyPr>
                      </wps:wsp>
                    </wpg:wgp>
                  </a:graphicData>
                </a:graphic>
              </wp:inline>
            </w:drawing>
          </mc:Choice>
          <mc:Fallback>
            <w:pict>
              <v:group w14:anchorId="3EEB4616" id="Group 5" o:spid="_x0000_s1026" style="width:202.2pt;height:121.4pt;mso-position-horizontal-relative:char;mso-position-vertical-relative:line" coordsize="45910,27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">
                <v:shape id="Graphic 6" o:spid="_x0000_s1027" style="position:absolute;left:2650;top:1492;width:40615;height:23171;visibility:visible;mso-wrap-style:square;v-text-anchor:top" coordsize="4061460,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" path="m4060952,l,,,2316988r4060952,l4060952,xe" fillcolor="#e7e6e6" stroked="f">
                  <v:path arrowok="t" o:connecttype="custom" o:connectlocs="4060952,0;0,0;0,2316988;4060952,2316988;4060952,0" o:connectangles="0,0,0,0,0"/>
                </v:shape>
                <v:shape id="Graphic 7" o:spid="_x0000_s1028" style="position:absolute;left:2650;top:1492;width:40615;height:23171;visibility:visible;mso-wrap-style:square;v-text-anchor:top" coordsize="4061460,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" path="m,1986787r4060952,em,1654047r4060952,em,1323847r4060952,em,993647r4060952,em,660907r4060952,em,330707r4060952,em,l4060952,em,l,2316987em676020,r,2316987em1354201,r,2316987em2029841,r,2316987em2708021,r,2316987em3383660,r,2316987em4060952,r,2316987e" filled="f" strokecolor="#7e7e7e">
                  <v:path arrowok="t" o:connecttype="custom" o:connectlocs="0,1986787;4060952,1986787;0,1654047;4060952,1654047;0,1323847;4060952,1323847;0,993647;4060952,993647;0,660907;4060952,660907;0,330707;4060952,330707;0,0;4060952,0;0,0;0,2316987;676020,0;676020,2316987;1354201,0;1354201,2316987;2029841,0;2029841,2316987;2708021,0;2708021,2316987;3383660,0;3383660,2316987;4060952,0;4060952,2316987" o:connectangles="0,0,0,0,0,0,0,0,0,0,0,0,0,0,0,0,0,0,0,0,0,0,0,0,0,0,0,0"/>
                </v:shape>
                <v:shape id="Graphic 8" o:spid="_x0000_s1029" style="position:absolute;left:2650;top:1492;width:40615;height:23171;visibility:visible;mso-wrap-style:square;v-text-anchor:top" coordsize="4061460,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" path="m,2316988r4060952,l4060952,,,,,2316988xe" filled="f" strokecolor="#404040">
                  <v:path arrowok="t" o:connecttype="custom" o:connectlocs="0,2316988;4060952,2316988;4060952,0;0,0;0,2316988" o:connectangles="0,0,0,0,0"/>
                </v:shape>
                <v:shape id="Graphic 9" o:spid="_x0000_s1030" style="position:absolute;left:2650;top:24662;width:40615;height:12;visibility:visible;mso-wrap-style:square;v-text-anchor:top" coordsize="406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" path="m,l4060952,e" filled="f" strokecolor="#bebebe">
                  <v:path arrowok="t" o:connecttype="custom" o:connectlocs="0,0;4060952,0" o:connectangles="0,0"/>
                </v:shape>
                <v:shape id="Graphic 10" o:spid="_x0000_s1031" style="position:absolute;left:2650;top:5548;width:40615;height:14522;visibility:visible;mso-wrap-style:square;v-text-anchor:top" coordsize="4061460,14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" path="m,759481l29420,724954,58842,687316,88265,647033r29424,-42460l147114,560401r29426,-45416l205966,468792r29428,-46504l264821,375940r29428,-45725l323677,285580r29428,-43080l382533,201444r29428,-38566l441388,127269,470816,95083,500242,66787,559093,23734,617940,1842,647362,r29420,4847l723473,29642r46687,45811l816845,139145r23342,37573l863528,217587r23340,43773l910209,307645r23340,48405l956889,406185r23339,51473l1003568,510076r23339,52972l1050247,616183r23339,52905l1096926,721373r23340,51273l1143607,822514r23340,48073l1190288,916473r23342,43306l1236972,1000115r23343,36974l1283658,1070309r46689,53612l1391286,1166313r37595,14186l1466478,1187010r37599,-241l1579277,1169724r37602,-14959l1654481,1136746r37603,-20157l1729687,1095218r37602,-21663l1804891,1052522r37601,-19479l1880091,1016041r37599,-13602l1955287,993159r37595,-4036l2030476,991256r42292,8564l2115063,1012757r42297,16755l2199659,1049530r42301,22725l2284262,1097131r42302,26473l2368867,1151118r42303,27998l2453472,1207045r42302,27302l2538075,1260469r42299,24384l2622671,1306945r42295,19244l2707259,1342030r48357,15786l2803971,1373081r48352,14532l2900672,1401198r48348,12424l2997367,1424673r48347,9464l3094060,1441801r48347,5651l3190755,1450876r48349,985l3287456,1450192r48355,-4535l3384169,1438042r45112,-10543l3474395,1413355r45118,-17344l3564632,1375868r45121,-22544l3654876,1328780r45122,-26145l3745122,1275289r45122,-28146l3835367,1218596r45121,-28549l3925607,1161898r45118,-27352l4015839,1108394r45113,-24555e" filled="f" strokecolor="#c00000" strokeweight="1.5pt">
                  <v:path arrowok="t" o:connecttype="custom" o:connectlocs="29420,724954;88265,647033;147114,560401;205966,468792;264821,375940;323677,285580;382533,201444;441388,127269;500242,66787;617940,1842;676782,4847;770160,75453;840187,176718;886868,261360;933549,356050;980228,457658;1026907,563048;1073586,669088;1120266,772646;1166947,870587;1213630,959779;1260315,1037089;1330347,1123921;1428881,1180499;1504077,1186769;1616879,1154765;1692084,1116589;1767289,1073555;1842492,1033043;1917690,1002439;1992882,989123;2072768,999820;2157360,1029512;2241960,1072255;2326564,1123604;2411170,1179116;2495774,1234347;2580374,1284853;2664966,1326189;2755616,1357816;2852323,1387613;2949020,1413622;3045714,1434137;3142407,1447452;3239104,1451861;3335811,1445657;3429281,1427499;3519513,1396011;3609753,1353324;3699998,1302635;3790244,1247143;3880488,1190047;3970725,1134546;4060952,1083839" o:connectangles="0,0,0,0,0,0,0,0,0,0,0,0,0,0,0,0,0,0,0,0,0,0,0,0,0,0,0,0,0,0,0,0,0,0,0,0,0,0,0,0,0,0,0,0,0,0,0,0,0,0,0,0,0,0"/>
                </v:shape>
                <v:shape id="Graphic 11" o:spid="_x0000_s1032" style="position:absolute;left:2330;top:1282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" path="m31750,l19395,2496,9302,9302,2496,19395,,31750,2496,44104,9302,54197r10093,6806l31750,63500,44104,61003,54197,54197,61003,44104,63500,31750,61003,19395,54197,9302,44104,2496,31750,xe" fillcolor="#c00000" stroked="f">
                  <v:path arrowok="t" o:connecttype="custom" o:connectlocs="31750,0;19395,2496;9302,9302;2496,19395;0,31750;2496,44104;9302,54197;19395,61003;31750,63500;44104,61003;54197,54197;61003,44104;63500,31750;61003,19395;54197,9302;44104,2496;31750,0" o:connectangles="0,0,0,0,0,0,0,0,0,0,0,0,0,0,0,0,0"/>
                </v:shape>
                <v:shape id="Graphic 12" o:spid="_x0000_s1033" style="position:absolute;left:2330;top:1282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" path="m63500,31750l61003,44104,54197,54197,44104,61003,31750,63500,19395,61003,9302,54197,2496,44104,,31750,2496,19395,9302,9302,19395,2496,31750,,44104,2496,54197,9302r6806,10093l63500,31750xe" filled="f" strokecolor="#c00000">
                  <v:path arrowok="t" o:connecttype="custom" o:connectlocs="63500,31750;61003,44104;54197,54197;44104,61003;31750,63500;19395,61003;9302,54197;2496,44104;0,31750;2496,19395;9302,9302;19395,2496;31750,0;44104,2496;54197,9302;61003,19395;63500,3175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4" type="#_x0000_t75" style="position:absolute;left:9039;top:5203;width:730;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">
                  <v:imagedata r:id="rId15" o:title=""/>
                </v:shape>
                <v:shape id="Image 14" o:spid="_x0000_s1035" type="#_x0000_t75" style="position:absolute;left:15821;top:16608;width:730;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">
                  <v:imagedata r:id="rId16" o:title=""/>
                </v:shape>
                <v:shape id="Image 15" o:spid="_x0000_s1036" type="#_x0000_t75" style="position:absolute;left:22577;top:15084;width:730;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">
                  <v:imagedata r:id="rId16" o:title=""/>
                </v:shape>
                <v:shape id="Image 16" o:spid="_x0000_s1037" type="#_x0000_t75" style="position:absolute;left:29359;top:18589;width:730;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">
                  <v:imagedata r:id="rId16" o:title=""/>
                </v:shape>
                <v:shape id="Image 17" o:spid="_x0000_s1038" type="#_x0000_t75" style="position:absolute;left:36115;top:19554;width:730;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">
                  <v:imagedata r:id="rId16" o:title=""/>
                </v:shape>
                <v:shape id="Graphic 18" o:spid="_x0000_s1039" style="position:absolute;left:42945;top:1604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" path="m31750,l19395,2496,9302,9302,2496,19395,,31750,2496,44104,9302,54197r10093,6806l31750,63500,44104,61003,54197,54197,61003,44104,63500,31750,61003,19395,54197,9302,44104,2496,31750,xe" fillcolor="#c00000" stroked="f">
                  <v:path arrowok="t" o:connecttype="custom" o:connectlocs="31750,0;19395,2496;9302,9302;2496,19395;0,31750;2496,44104;9302,54197;19395,61003;31750,63500;44104,61003;54197,54197;61003,44104;63500,31750;61003,19395;54197,9302;44104,2496;31750,0" o:connectangles="0,0,0,0,0,0,0,0,0,0,0,0,0,0,0,0,0"/>
                </v:shape>
                <v:shape id="Graphic 19" o:spid="_x0000_s1040" style="position:absolute;left:42945;top:1604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" path="m63500,31750l61003,44104,54197,54197,44104,61003,31750,63500,19395,61003,9302,54197,2496,44104,,31750,2496,19395,9302,9302,19395,2496,31750,,44104,2496,54197,9302r6806,10093l63500,31750xe" filled="f" strokecolor="#c00000">
                  <v:path arrowok="t" o:connecttype="custom" o:connectlocs="63500,31750;61003,44104;54197,54197;44104,61003;31750,63500;19395,61003;9302,54197;2496,44104;0,31750;2496,19395;9302,9302;19395,2496;31750,0;44104,2496;54197,9302;61003,19395;63500,31750" o:connectangles="0,0,0,0,0,0,0,0,0,0,0,0,0,0,0,0,0"/>
                </v:shape>
                <v:shape id="Graphic 20" o:spid="_x0000_s1041" style="position:absolute;left:2650;top:13143;width:40615;height:3245;visibility:visible;mso-wrap-style:square;v-text-anchor:top" coordsize="406146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" path="m,l71500,44577r56007,em4060952,324358l4046601,157987r-57277,e" filled="f" strokecolor="#a6a6a6">
                  <v:path arrowok="t" o:connecttype="custom" o:connectlocs="0,0;71500,44577;127507,44577;4060952,324358;4046601,157987;3989324,157987" o:connectangles="0,0,0,0,0,0"/>
                </v:shape>
                <v:shape id="Graphic 21" o:spid="_x0000_s1042" style="position:absolute;left:95;top:95;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" path="m,2743200r4572000,l4572000,,,,,2743200xe" filled="f" strokeweight="1.5pt">
                  <v:path arrowok="t" o:connecttype="custom" o:connectlocs="0,2743200;4572000,2743200;4572000,0;0,0;0,2743200" o:connectangles="0,0,0,0,0"/>
                </v:shape>
                <v:shapetype id="_x0000_t202" coordsize="21600,21600" o:spt="202" path="m,l,21600r21600,l21600,xe">
                  <v:stroke joinstyle="miter"/>
                  <v:path gradientshapeok="t" o:connecttype="rect"/>
                </v:shapetype>
                <v:shape id="Textbox 22" o:spid="_x0000_s1043" type="#_x0000_t202" style="position:absolute;left:42119;top:25637;width:243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DC61C49" w14:textId="77777777" w:rsidR="00E634F5" w:rsidRDefault="00E634F5" w:rsidP="00E634F5">
                        <w:pPr>
                          <w:spacing w:line="181" w:lineRule="exact"/>
                          <w:rPr>
                            <w:rFonts w:ascii="Calibri"/>
                            <w:b/>
                            <w:sz w:val="18"/>
                          </w:rPr>
                        </w:pPr>
                        <w:r>
                          <w:rPr>
                            <w:rFonts w:ascii="Calibri"/>
                            <w:b/>
                            <w:spacing w:val="-4"/>
                            <w:sz w:val="18"/>
                          </w:rPr>
                          <w:t>2024</w:t>
                        </w:r>
                      </w:p>
                    </w:txbxContent>
                  </v:textbox>
                </v:shape>
                <v:shape id="Textbox 23" o:spid="_x0000_s1044" type="#_x0000_t202" style="position:absolute;left:35350;top:25637;width:243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379EF8" w14:textId="77777777" w:rsidR="00E634F5" w:rsidRDefault="00E634F5" w:rsidP="00E634F5">
                        <w:pPr>
                          <w:spacing w:line="181" w:lineRule="exact"/>
                          <w:rPr>
                            <w:rFonts w:ascii="Calibri"/>
                            <w:b/>
                            <w:sz w:val="18"/>
                          </w:rPr>
                        </w:pPr>
                        <w:r>
                          <w:rPr>
                            <w:rFonts w:ascii="Calibri"/>
                            <w:b/>
                            <w:spacing w:val="-4"/>
                            <w:sz w:val="18"/>
                          </w:rPr>
                          <w:t>2023</w:t>
                        </w:r>
                      </w:p>
                    </w:txbxContent>
                  </v:textbox>
                </v:shape>
                <v:shape id="Textbox 24" o:spid="_x0000_s1045" type="#_x0000_t202" style="position:absolute;left:28578;top:25637;width:243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BC8345A" w14:textId="77777777" w:rsidR="00E634F5" w:rsidRDefault="00E634F5" w:rsidP="00E634F5">
                        <w:pPr>
                          <w:spacing w:line="181" w:lineRule="exact"/>
                          <w:rPr>
                            <w:rFonts w:ascii="Calibri"/>
                            <w:b/>
                            <w:sz w:val="18"/>
                          </w:rPr>
                        </w:pPr>
                        <w:r>
                          <w:rPr>
                            <w:rFonts w:ascii="Calibri"/>
                            <w:b/>
                            <w:spacing w:val="-4"/>
                            <w:sz w:val="18"/>
                          </w:rPr>
                          <w:t>2022</w:t>
                        </w:r>
                      </w:p>
                    </w:txbxContent>
                  </v:textbox>
                </v:shape>
                <v:shape id="Textbox 25" o:spid="_x0000_s1046" type="#_x0000_t202" style="position:absolute;left:21808;top:25637;width:243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D4F635B" w14:textId="77777777" w:rsidR="00E634F5" w:rsidRDefault="00E634F5" w:rsidP="00E634F5">
                        <w:pPr>
                          <w:spacing w:line="181" w:lineRule="exact"/>
                          <w:rPr>
                            <w:rFonts w:ascii="Calibri"/>
                            <w:b/>
                            <w:sz w:val="18"/>
                          </w:rPr>
                        </w:pPr>
                        <w:r>
                          <w:rPr>
                            <w:rFonts w:ascii="Calibri"/>
                            <w:b/>
                            <w:spacing w:val="-4"/>
                            <w:sz w:val="18"/>
                          </w:rPr>
                          <w:t>2021</w:t>
                        </w:r>
                      </w:p>
                    </w:txbxContent>
                  </v:textbox>
                </v:shape>
                <v:shape id="Textbox 26" o:spid="_x0000_s1047" type="#_x0000_t202" style="position:absolute;left:15040;top:25637;width:243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A35832E" w14:textId="77777777" w:rsidR="00E634F5" w:rsidRDefault="00E634F5" w:rsidP="00E634F5">
                        <w:pPr>
                          <w:spacing w:line="181" w:lineRule="exact"/>
                          <w:rPr>
                            <w:rFonts w:ascii="Calibri"/>
                            <w:b/>
                            <w:sz w:val="18"/>
                          </w:rPr>
                        </w:pPr>
                        <w:r>
                          <w:rPr>
                            <w:rFonts w:ascii="Calibri"/>
                            <w:b/>
                            <w:spacing w:val="-4"/>
                            <w:sz w:val="18"/>
                          </w:rPr>
                          <w:t>2020</w:t>
                        </w:r>
                      </w:p>
                    </w:txbxContent>
                  </v:textbox>
                </v:shape>
                <v:shape id="Textbox 27" o:spid="_x0000_s1048" type="#_x0000_t202" style="position:absolute;left:8267;top:25637;width:243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408BF33" w14:textId="77777777" w:rsidR="00E634F5" w:rsidRDefault="00E634F5" w:rsidP="00E634F5">
                        <w:pPr>
                          <w:spacing w:line="181" w:lineRule="exact"/>
                          <w:rPr>
                            <w:rFonts w:ascii="Calibri"/>
                            <w:b/>
                            <w:sz w:val="18"/>
                          </w:rPr>
                        </w:pPr>
                        <w:r>
                          <w:rPr>
                            <w:rFonts w:ascii="Calibri"/>
                            <w:b/>
                            <w:spacing w:val="-4"/>
                            <w:sz w:val="18"/>
                          </w:rPr>
                          <w:t>2019</w:t>
                        </w:r>
                      </w:p>
                    </w:txbxContent>
                  </v:textbox>
                </v:shape>
                <v:shape id="Textbox 28" o:spid="_x0000_s1049" type="#_x0000_t202" style="position:absolute;left:1498;top:25637;width:243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1BC2FE0" w14:textId="77777777" w:rsidR="00E634F5" w:rsidRDefault="00E634F5" w:rsidP="00E634F5">
                        <w:pPr>
                          <w:spacing w:line="181" w:lineRule="exact"/>
                          <w:rPr>
                            <w:rFonts w:ascii="Calibri"/>
                            <w:b/>
                            <w:sz w:val="18"/>
                          </w:rPr>
                        </w:pPr>
                        <w:r>
                          <w:rPr>
                            <w:rFonts w:ascii="Calibri"/>
                            <w:b/>
                            <w:spacing w:val="-4"/>
                            <w:sz w:val="18"/>
                          </w:rPr>
                          <w:t>2018</w:t>
                        </w:r>
                      </w:p>
                    </w:txbxContent>
                  </v:textbox>
                </v:shape>
                <v:shape id="Textbox 29" o:spid="_x0000_s1050" type="#_x0000_t202" style="position:absolute;left:35391;top:17772;width:237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642EF76" w14:textId="77777777" w:rsidR="00E634F5" w:rsidRDefault="00E634F5" w:rsidP="00E634F5">
                        <w:pPr>
                          <w:spacing w:line="200" w:lineRule="exact"/>
                          <w:rPr>
                            <w:rFonts w:ascii="Calibri"/>
                            <w:b/>
                          </w:rPr>
                        </w:pPr>
                        <w:r>
                          <w:rPr>
                            <w:rFonts w:ascii="Calibri"/>
                            <w:b/>
                            <w:spacing w:val="-4"/>
                          </w:rPr>
                          <w:t>1,43</w:t>
                        </w:r>
                      </w:p>
                    </w:txbxContent>
                  </v:textbox>
                </v:shape>
                <v:shape id="Textbox 30" o:spid="_x0000_s1051" type="#_x0000_t202" style="position:absolute;left:28619;top:16813;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37B7FE8" w14:textId="77777777" w:rsidR="00E634F5" w:rsidRDefault="00E634F5" w:rsidP="00E634F5">
                        <w:pPr>
                          <w:spacing w:line="200" w:lineRule="exact"/>
                          <w:rPr>
                            <w:rFonts w:ascii="Calibri"/>
                            <w:b/>
                          </w:rPr>
                        </w:pPr>
                        <w:r>
                          <w:rPr>
                            <w:rFonts w:ascii="Calibri"/>
                            <w:b/>
                            <w:spacing w:val="-4"/>
                          </w:rPr>
                          <w:t>1,72</w:t>
                        </w:r>
                      </w:p>
                    </w:txbxContent>
                  </v:textbox>
                </v:shape>
                <v:shape id="Textbox 31" o:spid="_x0000_s1052" type="#_x0000_t202" style="position:absolute;left:40559;top:14232;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9C1AEF3" w14:textId="77777777" w:rsidR="00E634F5" w:rsidRDefault="00E634F5" w:rsidP="00E634F5">
                        <w:pPr>
                          <w:spacing w:line="200" w:lineRule="exact"/>
                          <w:rPr>
                            <w:rFonts w:ascii="Calibri"/>
                            <w:b/>
                          </w:rPr>
                        </w:pPr>
                        <w:r>
                          <w:rPr>
                            <w:rFonts w:ascii="Calibri"/>
                            <w:b/>
                            <w:spacing w:val="-5"/>
                          </w:rPr>
                          <w:t>2,5</w:t>
                        </w:r>
                      </w:p>
                    </w:txbxContent>
                  </v:textbox>
                </v:shape>
                <v:shape id="Textbox 32" o:spid="_x0000_s1053" type="#_x0000_t202" style="position:absolute;left:15078;top:14825;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05DD332" w14:textId="77777777" w:rsidR="00E634F5" w:rsidRDefault="00E634F5" w:rsidP="00E634F5">
                        <w:pPr>
                          <w:spacing w:line="200" w:lineRule="exact"/>
                          <w:rPr>
                            <w:rFonts w:ascii="Calibri"/>
                            <w:b/>
                          </w:rPr>
                        </w:pPr>
                        <w:r>
                          <w:rPr>
                            <w:rFonts w:ascii="Calibri"/>
                            <w:b/>
                            <w:spacing w:val="-4"/>
                          </w:rPr>
                          <w:t>2,32</w:t>
                        </w:r>
                      </w:p>
                    </w:txbxContent>
                  </v:textbox>
                </v:shape>
                <v:shape id="Textbox 33" o:spid="_x0000_s1054" type="#_x0000_t202" style="position:absolute;left:21850;top:13304;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42041F2" w14:textId="77777777" w:rsidR="00E634F5" w:rsidRDefault="00E634F5" w:rsidP="00E634F5">
                        <w:pPr>
                          <w:spacing w:line="200" w:lineRule="exact"/>
                          <w:rPr>
                            <w:rFonts w:ascii="Calibri"/>
                            <w:b/>
                          </w:rPr>
                        </w:pPr>
                        <w:r>
                          <w:rPr>
                            <w:rFonts w:ascii="Calibri"/>
                            <w:b/>
                            <w:spacing w:val="-4"/>
                          </w:rPr>
                          <w:t>2,78</w:t>
                        </w:r>
                      </w:p>
                    </w:txbxContent>
                  </v:textbox>
                </v:shape>
                <v:shape id="Textbox 34" o:spid="_x0000_s1055" type="#_x0000_t202" style="position:absolute;left:4324;top:13096;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79C5F6" w14:textId="77777777" w:rsidR="00E634F5" w:rsidRDefault="00E634F5" w:rsidP="00E634F5">
                        <w:pPr>
                          <w:spacing w:line="200" w:lineRule="exact"/>
                          <w:rPr>
                            <w:rFonts w:ascii="Calibri"/>
                            <w:b/>
                          </w:rPr>
                        </w:pPr>
                        <w:r>
                          <w:rPr>
                            <w:rFonts w:ascii="Calibri"/>
                            <w:b/>
                            <w:spacing w:val="-4"/>
                          </w:rPr>
                          <w:t>3,48</w:t>
                        </w:r>
                      </w:p>
                    </w:txbxContent>
                  </v:textbox>
                </v:shape>
                <v:shape id="Textbox 35" o:spid="_x0000_s1056" type="#_x0000_t202" style="position:absolute;left:8308;top:3437;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29878C9" w14:textId="77777777" w:rsidR="00E634F5" w:rsidRDefault="00E634F5" w:rsidP="00E634F5">
                        <w:pPr>
                          <w:spacing w:line="200" w:lineRule="exact"/>
                          <w:rPr>
                            <w:rFonts w:ascii="Calibri"/>
                            <w:b/>
                          </w:rPr>
                        </w:pPr>
                        <w:r>
                          <w:rPr>
                            <w:rFonts w:ascii="Calibri"/>
                            <w:b/>
                            <w:spacing w:val="-4"/>
                          </w:rPr>
                          <w:t>5,76</w:t>
                        </w:r>
                      </w:p>
                    </w:txbxContent>
                  </v:textbox>
                </v:shape>
                <w10:anchorlock/>
              </v:group>
            </w:pict>
          </mc:Fallback>
        </mc:AlternateContent>
      </w:r>
    </w:p>
    <w:p w14:paraId="02CE76AE" w14:textId="77777777" w:rsidR="00E634F5" w:rsidRPr="00A50E7E" w:rsidRDefault="00E634F5" w:rsidP="00286CFF">
      <w:pPr>
        <w:spacing w:before="120" w:after="120"/>
        <w:jc w:val="center"/>
        <w:rPr>
          <w:bCs/>
          <w:color w:val="000000"/>
          <w:sz w:val="16"/>
          <w:szCs w:val="16"/>
          <w:lang w:val="id-ID"/>
        </w:rPr>
      </w:pPr>
      <w:r w:rsidRPr="00A50E7E">
        <w:rPr>
          <w:bCs/>
          <w:color w:val="000000"/>
          <w:sz w:val="16"/>
          <w:szCs w:val="16"/>
          <w:lang w:val="id-ID"/>
        </w:rPr>
        <w:t>Gambar 1. Laju Pertumbuhan Sektor Properti dan Real Estate (%)</w:t>
      </w:r>
    </w:p>
    <w:p w14:paraId="45AB91A8" w14:textId="49E7F3EE" w:rsidR="00E634F5" w:rsidRPr="00A50E7E" w:rsidRDefault="00E634F5" w:rsidP="00286CFF">
      <w:pPr>
        <w:spacing w:before="120" w:after="120"/>
        <w:rPr>
          <w:bCs/>
          <w:color w:val="000000"/>
          <w:lang w:val="id-ID"/>
        </w:rPr>
      </w:pPr>
      <w:r w:rsidRPr="00A50E7E">
        <w:rPr>
          <w:bCs/>
          <w:color w:val="000000"/>
          <w:szCs w:val="20"/>
          <w:lang w:val="id-ID"/>
        </w:rPr>
        <w:t xml:space="preserve">Perusahaan dalam sektor properti dan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pada umumnya membutuhkan pembiayaan yang besar untuk proyek-proyek jangka panjang. Sifat usaha yang kapital-intensif ini menuntut pengelolaan struktur modal yang optimal, baik melalui pembiayaan ekuitas maupun utang</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Keputusan pendanaan tersebut tidak hanya memengaruhi posisi keuangan perusahaan, tetapi juga berdampak pada kewajiban perpajakan. Penggunaan</w:t>
      </w:r>
      <w:r w:rsidRPr="00A50E7E">
        <w:rPr>
          <w:rFonts w:eastAsia="Times New Roman"/>
          <w:sz w:val="24"/>
          <w:szCs w:val="24"/>
          <w:lang w:val="id-ID"/>
        </w:rPr>
        <w:t xml:space="preserve"> </w:t>
      </w:r>
      <w:r w:rsidRPr="00A50E7E">
        <w:rPr>
          <w:bCs/>
          <w:color w:val="000000"/>
          <w:lang w:val="id-ID"/>
        </w:rPr>
        <w:t xml:space="preserve">utang, misalnya, berimplikasi pada pengurangan penghasilan kena pajak melalui beban bunga, sehingga menciptakan </w:t>
      </w:r>
      <w:proofErr w:type="spellStart"/>
      <w:r w:rsidRPr="00A50E7E">
        <w:rPr>
          <w:bCs/>
          <w:i/>
          <w:color w:val="000000"/>
          <w:lang w:val="id-ID"/>
        </w:rPr>
        <w:t>tax</w:t>
      </w:r>
      <w:proofErr w:type="spellEnd"/>
      <w:r w:rsidRPr="00A50E7E">
        <w:rPr>
          <w:bCs/>
          <w:i/>
          <w:color w:val="000000"/>
          <w:lang w:val="id-ID"/>
        </w:rPr>
        <w:t xml:space="preserve"> </w:t>
      </w:r>
      <w:proofErr w:type="spellStart"/>
      <w:r w:rsidRPr="00A50E7E">
        <w:rPr>
          <w:bCs/>
          <w:i/>
          <w:color w:val="000000"/>
          <w:lang w:val="id-ID"/>
        </w:rPr>
        <w:t>shield</w:t>
      </w:r>
      <w:proofErr w:type="spellEnd"/>
      <w:r w:rsidRPr="00A50E7E">
        <w:rPr>
          <w:bCs/>
          <w:i/>
          <w:color w:val="000000"/>
          <w:lang w:val="id-ID"/>
        </w:rPr>
        <w:t xml:space="preserve"> </w:t>
      </w:r>
      <w:r w:rsidRPr="00A50E7E">
        <w:rPr>
          <w:bCs/>
          <w:color w:val="000000"/>
          <w:lang w:val="id-ID"/>
        </w:rPr>
        <w:t>yang dapat dimanfaatkan untuk mengurangi beban pajak</w:t>
      </w:r>
      <w:r w:rsidR="003964A3" w:rsidRPr="00A50E7E">
        <w:rPr>
          <w:bCs/>
          <w:color w:val="000000"/>
          <w:lang w:val="id-ID"/>
        </w:rPr>
        <w:t xml:space="preserve"> </w:t>
      </w:r>
      <w:r w:rsidR="003964A3" w:rsidRPr="00A50E7E">
        <w:rPr>
          <w:bCs/>
          <w:color w:val="000000"/>
          <w:lang w:val="id-ID"/>
        </w:rPr>
        <w:fldChar w:fldCharType="begin" w:fldLock="1"/>
      </w:r>
      <w:r w:rsidR="007C665C" w:rsidRPr="00A50E7E">
        <w:rPr>
          <w:bCs/>
          <w:color w:val="00000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color w:val="000000"/>
          <w:lang w:val="id-ID"/>
        </w:rPr>
        <w:fldChar w:fldCharType="separate"/>
      </w:r>
      <w:r w:rsidR="007C665C" w:rsidRPr="00A50E7E">
        <w:rPr>
          <w:bCs/>
          <w:color w:val="000000"/>
          <w:lang w:val="id-ID"/>
        </w:rPr>
        <w:t>[</w:t>
      </w:r>
      <w:hyperlink w:anchor="a6" w:history="1">
        <w:r w:rsidR="007C665C" w:rsidRPr="00A50E7E">
          <w:rPr>
            <w:rStyle w:val="Hyperlink"/>
            <w:bCs/>
            <w:u w:val="none"/>
            <w:lang w:val="id-ID"/>
          </w:rPr>
          <w:t>6</w:t>
        </w:r>
      </w:hyperlink>
      <w:r w:rsidR="007C665C" w:rsidRPr="00A50E7E">
        <w:rPr>
          <w:bCs/>
          <w:color w:val="000000"/>
          <w:lang w:val="id-ID"/>
        </w:rPr>
        <w:t>]</w:t>
      </w:r>
      <w:r w:rsidR="003964A3" w:rsidRPr="00A50E7E">
        <w:rPr>
          <w:bCs/>
          <w:color w:val="000000"/>
          <w:lang w:val="id-ID"/>
        </w:rPr>
        <w:fldChar w:fldCharType="end"/>
      </w:r>
      <w:r w:rsidRPr="00A50E7E">
        <w:rPr>
          <w:bCs/>
          <w:color w:val="000000"/>
          <w:lang w:val="id-ID"/>
        </w:rPr>
        <w:t xml:space="preserve">. Dalam konteks ini, perusahaan berpotensi menerapkan strategi </w:t>
      </w:r>
      <w:proofErr w:type="spellStart"/>
      <w:r w:rsidRPr="00A50E7E">
        <w:rPr>
          <w:bCs/>
          <w:i/>
          <w:color w:val="000000"/>
          <w:lang w:val="id-ID"/>
        </w:rPr>
        <w:t>tax</w:t>
      </w:r>
      <w:proofErr w:type="spellEnd"/>
      <w:r w:rsidRPr="00A50E7E">
        <w:rPr>
          <w:bCs/>
          <w:i/>
          <w:color w:val="000000"/>
          <w:lang w:val="id-ID"/>
        </w:rPr>
        <w:t xml:space="preserve"> </w:t>
      </w:r>
      <w:proofErr w:type="spellStart"/>
      <w:r w:rsidRPr="00A50E7E">
        <w:rPr>
          <w:bCs/>
          <w:i/>
          <w:color w:val="000000"/>
          <w:lang w:val="id-ID"/>
        </w:rPr>
        <w:t>avoidance</w:t>
      </w:r>
      <w:proofErr w:type="spellEnd"/>
      <w:r w:rsidRPr="00A50E7E">
        <w:rPr>
          <w:bCs/>
          <w:i/>
          <w:color w:val="000000"/>
          <w:lang w:val="id-ID"/>
        </w:rPr>
        <w:t xml:space="preserve"> </w:t>
      </w:r>
      <w:r w:rsidRPr="00A50E7E">
        <w:rPr>
          <w:bCs/>
          <w:color w:val="000000"/>
          <w:lang w:val="id-ID"/>
        </w:rPr>
        <w:t>secara legal namun agresif sebagai bentuk efisiensi fiskal.</w:t>
      </w:r>
    </w:p>
    <w:p w14:paraId="61FFA675" w14:textId="50F1C5C3" w:rsidR="00E634F5" w:rsidRPr="00A50E7E" w:rsidRDefault="00E634F5" w:rsidP="00286CFF">
      <w:pPr>
        <w:spacing w:before="120" w:after="120"/>
        <w:rPr>
          <w:bCs/>
          <w:color w:val="000000"/>
          <w:szCs w:val="20"/>
          <w:lang w:val="id-ID"/>
        </w:rPr>
      </w:pPr>
      <w:r w:rsidRPr="00A50E7E">
        <w:rPr>
          <w:bCs/>
          <w:color w:val="000000"/>
          <w:szCs w:val="20"/>
          <w:lang w:val="id-ID"/>
        </w:rPr>
        <w:t>Pajak merupakan sumber utama pendapatan negara. Berdasarkan data Kementerian Keuangan Republik Indonesia, lebih dari 85% pendapatan negara pada tahun 2022 bersumber dari penerimaan perpajakan</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{"citationItems":[{"id":"ITEM-1","itemData":{"DOI":"10.32877/ef.v6i2.1436","ISSN":"2656-095X","abstract":"Tujuan utama penelitian adalah untuk menganalisis hubungan Auditor Switching, Audit Fee, Audit Committee, dan Firm Size terhadap Audit Delay secara simultan atau parsial pada perusahaan Property dan Real Estate yang terdapat di BEI 2015-2023. Metode Kuantitaf dengan pendekatan analisis deskritif dan verifikatif telah diterapkan selama penelitian ini. Data skunder yang merupakan data utama pada penelitian ini adalah data Laporan Tahunan (Annual Report) pada perusahaan sektor Property dan Real Estate yang terdaftar di BEI selama 8 tahun terhitung sejak 2015-2023, yang diakses menggunakan halaman resmi BEI dan Perusahaan. Sedangakan data pendukung berasal dari dokumen dan literatur terkiat lainnya. Penelitian melibatakan 93 perusahaan sektor Property dan Real Estate yang terdapat BEI tahun 2015-2023 sebagai populasi penelitian. Sedangkan pemilihan sampel dilaksanakan dengan menerapkan metode purposive sampling berdasarkan kriteria yang telah diterapkan, sehingga sampel yang diperoleh akan dapat memberikan hasil yang lebih aktual. Sedangkan berdasarkan kriteria yang diterapkan, maka diperoleh 10 perusahaan yang dinilai sesuai dan layak untuk digunakan sebagai sampel penelitian. Temuan penelitian ini menyimpulkan bahwa meskipun ada beberapa keterlambatan audit yang signifikan di industri Property dan Real Estate, faktor dominan yang mempengaruhi keterlambatan tersebut adalah Audit Fee. Variabel lain seperti Auditor Switching, Audit Committee, dan Firm Size tidak memegang pengaruh signifikan secara individu, meskipun secara simultan keseluruhan mempengaruhi Audit Delay.","author":[{"dropping-particle":"","family":"Mutianisa","given":"Tita","non-dropping-particle":"","parse-names":false,"suffix":""},{"dropping-particle":"","family":"Febriyanti","given":"Diah","non-dropping-particle":"","parse-names":false,"suffix":""},{"dropping-particle":"","family":"Sajekti","given":"Tjipto","non-dropping-particle":"","parse-names":false,"suffix":""}],"container-title":"eCo-Fin","id":"ITEM-1","issue":"2","issued":{"date-parts":[["2024","6","10"]]},"page":"367-376","title":"Pengaruh Auditor Switching, Audit Fee, Audit Committee, dan Firm Size Terhadap Audit Delay (Sektor Property dan Real Estate BEI 2015-2023)","type":"article-journal","volume":"6"},"uris":["http://www.mendeley.com/documents/?uuid=44526c78-eb92-4ab5-a366-40214d88d24c"]}],"mendeley":{"formattedCitation":"[1]","plainTextFormattedCitation":"[1]","previouslyFormattedCitation":"(Mutianisa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1" w:history="1">
        <w:r w:rsidR="007C665C" w:rsidRPr="00A50E7E">
          <w:rPr>
            <w:rStyle w:val="Hyperlink"/>
            <w:bCs/>
            <w:szCs w:val="20"/>
            <w:u w:val="none"/>
            <w:lang w:val="id-ID"/>
          </w:rPr>
          <w:t>1</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Kendati demikian, tingkat kepatuhan pajak di kalangan korporasi masih menjadi persoalan, khususnya karena keberadaan praktik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i/>
          <w:color w:val="000000"/>
          <w:szCs w:val="20"/>
          <w:lang w:val="id-ID"/>
        </w:rPr>
        <w:t xml:space="preserve"> </w:t>
      </w:r>
      <w:r w:rsidRPr="00A50E7E">
        <w:rPr>
          <w:bCs/>
          <w:color w:val="000000"/>
          <w:szCs w:val="20"/>
          <w:lang w:val="id-ID"/>
        </w:rPr>
        <w:t xml:space="preserve">yang dilakukan oleh </w:t>
      </w:r>
      <w:r w:rsidRPr="00A50E7E">
        <w:rPr>
          <w:bCs/>
          <w:color w:val="000000"/>
          <w:szCs w:val="20"/>
          <w:lang w:val="id-ID"/>
        </w:rPr>
        <w:t xml:space="preserve">perusahaan besar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{"citationItems":[{"id":"ITEM-1","itemData":{"DOI":"10.32534/jpk.v10i4.4781","ISSN":"2685-9750","abstract":"Penelitian ini menguji dampak krisis terhadap profitabilitas, sebagai salah satu dimensi kinerja perusahaan, untuk perusahaan sektor riil estat dan properti di Indonesia. Penelitian menggunakan uji pengaruh variabel-variabel utama tersebut, dengan berbagai pengukuran sebagai uji robustness untuk melihat konsistensinya. Periode penelitian adalah tahun 2014 – 2021, di mana tahun 2014 – 2019 ada periode pra-krisis, tahun 2020 adalah periode krisis, dan tahun 2021 adalah periode pasca-krisis. Alat analisis yang digunakan adalah regresi data panel, dengan model ekonometrik terbaik yang terpilih adalah random effect model untuk semua model empiris yang dikonstruksikan. Hasil didapatkan secara robust bahwa krisis berdampak negatif pada profitabilitas perusahaan sektor riil estat dan properti di Indonesia, yang dibuktikan pada model 1, model 2, model 3, dan model 4. Oleh sebab itu, penelitian ini memberi saran kepada manajeril perusahaan untuk menetapkan kebijakan-kebijakan strategis untuk memitigasi dampak krisis terhadap kinerja perusahaan. Selain itu, juga kepada pemerintah diberikan saran untuk memberlakukan kebijakan-kebijakan strategis untuk membantu sektor industri riil estat dan properti yang terdampak negatif dalam menghadapi krisis.","author":[{"dropping-particle":"","family":"Simanjuntak","given":"Lydia Rosintan","non-dropping-particle":"","parse-names":false,"suffix":""}],"container-title":"Jurnal Proaksi","id":"ITEM-1","issue":"4","issued":{"date-parts":[["2023","10","16"]]},"page":"450-464","title":"Dampak Krisis Akibat Pandemi COVID-19 Terhadap Kinerja Perusahaan: Kajian Profitabilitas Perusahaan Riil Estat dan Properti di Indonesia","type":"article-journal","volume":"10"},"uris":["http://www.mendeley.com/documents/?uuid=0b4ea25e-93ed-4e6c-bd6a-e31375c8c125"]}],"mendeley":{"formattedCitation":"[5]","plainTextFormattedCitation":"[5]","previouslyFormattedCitation":"(Simanjuntak,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5" w:history="1">
        <w:r w:rsidR="007C665C" w:rsidRPr="00A50E7E">
          <w:rPr>
            <w:rStyle w:val="Hyperlink"/>
            <w:bCs/>
            <w:szCs w:val="20"/>
            <w:u w:val="none"/>
            <w:lang w:val="id-ID"/>
          </w:rPr>
          <w:t>5</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Meskipun strategi tersebut tidak melanggar ketentuan hukum positif, praktik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i/>
          <w:color w:val="000000"/>
          <w:szCs w:val="20"/>
          <w:lang w:val="id-ID"/>
        </w:rPr>
        <w:t xml:space="preserve"> </w:t>
      </w:r>
      <w:r w:rsidRPr="00A50E7E">
        <w:rPr>
          <w:bCs/>
          <w:color w:val="000000"/>
          <w:szCs w:val="20"/>
          <w:lang w:val="id-ID"/>
        </w:rPr>
        <w:t>secara substantif dapat mengurangi potensi penerimaan negara</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{"citationItems":[{"id":"ITEM-1","itemData":{"DOI":"10.32877/ef.v6i2.1436","ISSN":"2656-095X","abstract":"Tujuan utama penelitian adalah untuk menganalisis hubungan Auditor Switching, Audit Fee, Audit Committee, dan Firm Size terhadap Audit Delay secara simultan atau parsial pada perusahaan Property dan Real Estate yang terdapat di BEI 2015-2023. Metode Kuantitaf dengan pendekatan analisis deskritif dan verifikatif telah diterapkan selama penelitian ini. Data skunder yang merupakan data utama pada penelitian ini adalah data Laporan Tahunan (Annual Report) pada perusahaan sektor Property dan Real Estate yang terdaftar di BEI selama 8 tahun terhitung sejak 2015-2023, yang diakses menggunakan halaman resmi BEI dan Perusahaan. Sedangakan data pendukung berasal dari dokumen dan literatur terkiat lainnya. Penelitian melibatakan 93 perusahaan sektor Property dan Real Estate yang terdapat BEI tahun 2015-2023 sebagai populasi penelitian. Sedangkan pemilihan sampel dilaksanakan dengan menerapkan metode purposive sampling berdasarkan kriteria yang telah diterapkan, sehingga sampel yang diperoleh akan dapat memberikan hasil yang lebih aktual. Sedangkan berdasarkan kriteria yang diterapkan, maka diperoleh 10 perusahaan yang dinilai sesuai dan layak untuk digunakan sebagai sampel penelitian. Temuan penelitian ini menyimpulkan bahwa meskipun ada beberapa keterlambatan audit yang signifikan di industri Property dan Real Estate, faktor dominan yang mempengaruhi keterlambatan tersebut adalah Audit Fee. Variabel lain seperti Auditor Switching, Audit Committee, dan Firm Size tidak memegang pengaruh signifikan secara individu, meskipun secara simultan keseluruhan mempengaruhi Audit Delay.","author":[{"dropping-particle":"","family":"Mutianisa","given":"Tita","non-dropping-particle":"","parse-names":false,"suffix":""},{"dropping-particle":"","family":"Febriyanti","given":"Diah","non-dropping-particle":"","parse-names":false,"suffix":""},{"dropping-particle":"","family":"Sajekti","given":"Tjipto","non-dropping-particle":"","parse-names":false,"suffix":""}],"container-title":"eCo-Fin","id":"ITEM-1","issue":"2","issued":{"date-parts":[["2024","6","10"]]},"page":"367-376","title":"Pengaruh Auditor Switching, Audit Fee, Audit Committee, dan Firm Size Terhadap Audit Delay (Sektor Property dan Real Estate BEI 2015-2023)","type":"article-journal","volume":"6"},"uris":["http://www.mendeley.com/documents/?uuid=44526c78-eb92-4ab5-a366-40214d88d24c"]}],"mendeley":{"formattedCitation":"[1]","plainTextFormattedCitation":"[1]","previouslyFormattedCitation":"(Mutianisa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1" w:history="1">
        <w:r w:rsidR="007C665C" w:rsidRPr="00A50E7E">
          <w:rPr>
            <w:rStyle w:val="Hyperlink"/>
            <w:bCs/>
            <w:szCs w:val="20"/>
            <w:u w:val="none"/>
            <w:lang w:val="id-ID"/>
          </w:rPr>
          <w:t>1</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Fenomena ini kerap dijumpai pada sektor-sektor yang memiliki struktur keuangan yang kompleks, termasuk sektor properti dan real </w:t>
      </w:r>
      <w:proofErr w:type="spellStart"/>
      <w:r w:rsidRPr="00A50E7E">
        <w:rPr>
          <w:bCs/>
          <w:color w:val="000000"/>
          <w:szCs w:val="20"/>
          <w:lang w:val="id-ID"/>
        </w:rPr>
        <w:t>estate</w:t>
      </w:r>
      <w:proofErr w:type="spellEnd"/>
      <w:r w:rsidRPr="00A50E7E">
        <w:rPr>
          <w:bCs/>
          <w:color w:val="000000"/>
          <w:szCs w:val="20"/>
          <w:lang w:val="id-ID"/>
        </w:rPr>
        <w:t xml:space="preserve"> yang tengah mengalami tekanan akibat ketidakstabilan pertumbuhan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color w:val="000000"/>
          <w:szCs w:val="20"/>
          <w:lang w:val="id-ID"/>
        </w:rPr>
        <w:fldChar w:fldCharType="end"/>
      </w:r>
      <w:r w:rsidR="003964A3" w:rsidRPr="00A50E7E">
        <w:rPr>
          <w:bCs/>
          <w:color w:val="000000"/>
          <w:szCs w:val="20"/>
          <w:lang w:val="id-ID"/>
        </w:rPr>
        <w:t>.</w:t>
      </w:r>
    </w:p>
    <w:p w14:paraId="3C8AFBAB" w14:textId="3F027D45" w:rsidR="00286CFF" w:rsidRPr="00A50E7E" w:rsidRDefault="00E634F5" w:rsidP="00286CFF">
      <w:pPr>
        <w:spacing w:before="120" w:after="120"/>
        <w:rPr>
          <w:bCs/>
          <w:color w:val="000000"/>
          <w:szCs w:val="20"/>
          <w:lang w:val="id-ID"/>
        </w:rPr>
      </w:pPr>
      <w:r w:rsidRPr="00A50E7E">
        <w:rPr>
          <w:bCs/>
          <w:color w:val="000000"/>
          <w:szCs w:val="20"/>
          <w:lang w:val="id-ID"/>
        </w:rPr>
        <w:t xml:space="preserve">Secara teoritis, terdapat beberapa faktor yang diyakini memengaruhi praktik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color w:val="000000"/>
          <w:szCs w:val="20"/>
          <w:lang w:val="id-ID"/>
        </w:rPr>
        <w:t xml:space="preserve">, di antaranya struktur modal, profitabilitas, dan ukuran perusahaan. Struktur modal yang didominasi oleh utang cenderung menurunkan beban pajak melalui efek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shield</w:t>
      </w:r>
      <w:proofErr w:type="spellEnd"/>
      <w:r w:rsidRPr="00A50E7E">
        <w:rPr>
          <w:bCs/>
          <w:i/>
          <w:color w:val="000000"/>
          <w:szCs w:val="20"/>
          <w:lang w:val="id-ID"/>
        </w:rPr>
        <w:t xml:space="preserve"> </w:t>
      </w:r>
      <w:r w:rsidR="003964A3" w:rsidRPr="00A50E7E">
        <w:rPr>
          <w:bCs/>
          <w:i/>
          <w:color w:val="000000"/>
          <w:szCs w:val="20"/>
          <w:lang w:val="id-ID"/>
        </w:rPr>
        <w:fldChar w:fldCharType="begin" w:fldLock="1"/>
      </w:r>
      <w:r w:rsidR="007C665C" w:rsidRPr="00A50E7E">
        <w:rPr>
          <w:bCs/>
          <w:i/>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i/>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i/>
          <w:color w:val="000000"/>
          <w:szCs w:val="20"/>
          <w:lang w:val="id-ID"/>
        </w:rPr>
        <w:fldChar w:fldCharType="end"/>
      </w:r>
      <w:r w:rsidRPr="00A50E7E">
        <w:rPr>
          <w:bCs/>
          <w:color w:val="000000"/>
          <w:szCs w:val="20"/>
          <w:lang w:val="id-ID"/>
        </w:rPr>
        <w:t xml:space="preserve">. Sementara itu, perusahaan dengan tingkat profitabilitas yang tinggi memiliki insentif untuk meminimalkan beban pajak demi menjaga efisiensi finansial </w:t>
      </w:r>
      <w:r w:rsidR="003964A3" w:rsidRPr="00A50E7E">
        <w:rPr>
          <w:bCs/>
          <w:i/>
          <w:color w:val="000000"/>
          <w:szCs w:val="20"/>
          <w:lang w:val="id-ID"/>
        </w:rPr>
        <w:fldChar w:fldCharType="begin" w:fldLock="1"/>
      </w:r>
      <w:r w:rsidR="007C665C" w:rsidRPr="00A50E7E">
        <w:rPr>
          <w:bCs/>
          <w:i/>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i/>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Ukuran perusahaan juga turut berperan, di mana perusahaan berskala besar cenderung memiliki akses terhadap sumber daya dan konsultan profesional yang memadai untuk merancang strategi perencanaan pajak yang kompleks dan agresif </w:t>
      </w:r>
      <w:r w:rsidR="003964A3" w:rsidRPr="00A50E7E">
        <w:rPr>
          <w:bCs/>
          <w:i/>
          <w:color w:val="000000"/>
          <w:szCs w:val="20"/>
          <w:lang w:val="id-ID"/>
        </w:rPr>
        <w:fldChar w:fldCharType="begin" w:fldLock="1"/>
      </w:r>
      <w:r w:rsidR="007C665C" w:rsidRPr="00A50E7E">
        <w:rPr>
          <w:bCs/>
          <w:i/>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i/>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w:t>
      </w:r>
    </w:p>
    <w:p w14:paraId="27A1D1D6" w14:textId="42CAA189" w:rsidR="00E634F5" w:rsidRPr="00A50E7E" w:rsidRDefault="00E634F5" w:rsidP="00286CFF">
      <w:pPr>
        <w:spacing w:before="120" w:after="120"/>
        <w:rPr>
          <w:bCs/>
          <w:color w:val="000000"/>
          <w:szCs w:val="20"/>
          <w:lang w:val="id-ID"/>
        </w:rPr>
      </w:pPr>
      <w:r w:rsidRPr="00A50E7E">
        <w:rPr>
          <w:bCs/>
          <w:color w:val="000000"/>
          <w:szCs w:val="20"/>
          <w:lang w:val="id-ID"/>
        </w:rPr>
        <w:t xml:space="preserve">Sejumlah penelitian sebelumnya telah mengkaji determinan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color w:val="000000"/>
          <w:szCs w:val="20"/>
          <w:lang w:val="id-ID"/>
        </w:rPr>
        <w:t xml:space="preserve">, namun sebagian besar studi tersebut bersifat umum dan belum secara khusus difokuskan pada perusahaan subsektor properti dan real </w:t>
      </w:r>
      <w:proofErr w:type="spellStart"/>
      <w:r w:rsidRPr="00A50E7E">
        <w:rPr>
          <w:bCs/>
          <w:color w:val="000000"/>
          <w:szCs w:val="20"/>
          <w:lang w:val="id-ID"/>
        </w:rPr>
        <w:t>estate</w:t>
      </w:r>
      <w:proofErr w:type="spellEnd"/>
      <w:r w:rsidRPr="00A50E7E">
        <w:rPr>
          <w:bCs/>
          <w:color w:val="000000"/>
          <w:szCs w:val="20"/>
          <w:lang w:val="id-ID"/>
        </w:rPr>
        <w:t xml:space="preserve"> di Indonesia. Padahal, sektor ini memiliki karakteristik khusus dalam hal pembiayaan dan siklus usaha </w:t>
      </w:r>
      <w:r w:rsidR="003964A3" w:rsidRPr="00A50E7E">
        <w:rPr>
          <w:bCs/>
          <w:i/>
          <w:color w:val="000000"/>
          <w:szCs w:val="20"/>
          <w:lang w:val="id-ID"/>
        </w:rPr>
        <w:fldChar w:fldCharType="begin" w:fldLock="1"/>
      </w:r>
      <w:r w:rsidR="007C665C" w:rsidRPr="00A50E7E">
        <w:rPr>
          <w:bCs/>
          <w:i/>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i/>
          <w:color w:val="000000"/>
          <w:szCs w:val="20"/>
          <w:lang w:val="id-ID"/>
        </w:rPr>
        <w:fldChar w:fldCharType="separate"/>
      </w:r>
      <w:r w:rsidR="007C665C" w:rsidRPr="00A50E7E">
        <w:rPr>
          <w:bCs/>
          <w:color w:val="000000"/>
          <w:szCs w:val="20"/>
          <w:lang w:val="id-ID"/>
        </w:rPr>
        <w:t>[6]</w:t>
      </w:r>
      <w:r w:rsidR="003964A3" w:rsidRPr="00A50E7E">
        <w:rPr>
          <w:bCs/>
          <w:color w:val="000000"/>
          <w:szCs w:val="20"/>
          <w:lang w:val="id-ID"/>
        </w:rPr>
        <w:fldChar w:fldCharType="end"/>
      </w:r>
      <w:r w:rsidRPr="00A50E7E">
        <w:rPr>
          <w:bCs/>
          <w:color w:val="000000"/>
          <w:szCs w:val="20"/>
          <w:lang w:val="id-ID"/>
        </w:rPr>
        <w:t xml:space="preserve">. Selain itu, temuan-temuan terdahulu juga menunjukkan hasil yang belum konsisten, terutama terkait pengaruh struktur modal, profitabilitas, dan ukuran perusahaan terhadap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color w:val="000000"/>
          <w:szCs w:val="20"/>
          <w:lang w:val="id-ID"/>
        </w:rPr>
        <w:t>, yang menciptakan kesenjangan penelitian (</w:t>
      </w:r>
      <w:proofErr w:type="spellStart"/>
      <w:r w:rsidRPr="00A50E7E">
        <w:rPr>
          <w:bCs/>
          <w:i/>
          <w:color w:val="000000"/>
          <w:szCs w:val="20"/>
          <w:lang w:val="id-ID"/>
        </w:rPr>
        <w:t>research</w:t>
      </w:r>
      <w:proofErr w:type="spellEnd"/>
      <w:r w:rsidRPr="00A50E7E">
        <w:rPr>
          <w:bCs/>
          <w:i/>
          <w:color w:val="000000"/>
          <w:szCs w:val="20"/>
          <w:lang w:val="id-ID"/>
        </w:rPr>
        <w:t xml:space="preserve"> gap</w:t>
      </w:r>
      <w:r w:rsidRPr="00A50E7E">
        <w:rPr>
          <w:bCs/>
          <w:color w:val="000000"/>
          <w:szCs w:val="20"/>
          <w:lang w:val="id-ID"/>
        </w:rPr>
        <w:t>) yang relevan untuk diangkat dalam kajian yang lebih spesifik. Struktur modal misalnya, ditemukan berpengaruh positif terhadap penghindaran pajak, namun</w:t>
      </w:r>
      <w:r w:rsidR="003964A3" w:rsidRPr="00A50E7E">
        <w:rPr>
          <w:bCs/>
          <w:color w:val="000000"/>
          <w:szCs w:val="20"/>
          <w:lang w:val="id-ID"/>
        </w:rPr>
        <w:t xml:space="preserve"> </w:t>
      </w:r>
      <w:proofErr w:type="spellStart"/>
      <w:r w:rsidR="00286CFF" w:rsidRPr="00A50E7E">
        <w:rPr>
          <w:bCs/>
          <w:color w:val="000000"/>
          <w:szCs w:val="20"/>
        </w:rPr>
        <w:t>terdapat</w:t>
      </w:r>
      <w:proofErr w:type="spellEnd"/>
      <w:r w:rsidR="00286CFF" w:rsidRPr="00A50E7E">
        <w:rPr>
          <w:bCs/>
          <w:color w:val="000000"/>
          <w:szCs w:val="20"/>
        </w:rPr>
        <w:t xml:space="preserve"> </w:t>
      </w:r>
      <w:proofErr w:type="spellStart"/>
      <w:r w:rsidR="00286CFF" w:rsidRPr="00A50E7E">
        <w:rPr>
          <w:bCs/>
          <w:color w:val="000000"/>
          <w:szCs w:val="20"/>
        </w:rPr>
        <w:t>penelitian</w:t>
      </w:r>
      <w:proofErr w:type="spellEnd"/>
      <w:r w:rsidR="00286CFF" w:rsidRPr="00A50E7E">
        <w:rPr>
          <w:bCs/>
          <w:color w:val="000000"/>
          <w:szCs w:val="20"/>
        </w:rPr>
        <w:t xml:space="preserve"> lain</w:t>
      </w:r>
      <w:r w:rsidR="003964A3" w:rsidRPr="00A50E7E">
        <w:rPr>
          <w:bCs/>
          <w:color w:val="000000"/>
          <w:szCs w:val="20"/>
          <w:lang w:val="id-ID"/>
        </w:rPr>
        <w:t xml:space="preserve"> </w:t>
      </w:r>
      <w:r w:rsidRPr="00A50E7E">
        <w:rPr>
          <w:bCs/>
          <w:color w:val="000000"/>
          <w:szCs w:val="20"/>
          <w:lang w:val="id-ID"/>
        </w:rPr>
        <w:t>justru menemukan pengaruh negatif, mengindikasikan bahwa tingginya utang dapat meningkatkan risiko dan menurunkan agresivitas pajak</w:t>
      </w:r>
      <w:r w:rsidR="00286CFF" w:rsidRPr="00A50E7E">
        <w:rPr>
          <w:bCs/>
          <w:color w:val="000000"/>
          <w:szCs w:val="20"/>
        </w:rPr>
        <w:t xml:space="preserve"> [</w:t>
      </w:r>
      <w:hyperlink w:anchor="a7" w:history="1">
        <w:r w:rsidR="00286CFF" w:rsidRPr="00A50E7E">
          <w:rPr>
            <w:rStyle w:val="Hyperlink"/>
            <w:bCs/>
            <w:szCs w:val="20"/>
            <w:u w:val="none"/>
          </w:rPr>
          <w:t>7</w:t>
        </w:r>
      </w:hyperlink>
      <w:r w:rsidR="00286CFF" w:rsidRPr="00A50E7E">
        <w:rPr>
          <w:bCs/>
          <w:color w:val="000000"/>
          <w:szCs w:val="20"/>
        </w:rPr>
        <w:t>], [</w:t>
      </w:r>
      <w:hyperlink w:anchor="a8" w:history="1">
        <w:r w:rsidR="00286CFF" w:rsidRPr="00A50E7E">
          <w:rPr>
            <w:rStyle w:val="Hyperlink"/>
            <w:bCs/>
            <w:szCs w:val="20"/>
            <w:u w:val="none"/>
          </w:rPr>
          <w:t>8</w:t>
        </w:r>
      </w:hyperlink>
      <w:r w:rsidR="00286CFF" w:rsidRPr="00A50E7E">
        <w:rPr>
          <w:bCs/>
          <w:color w:val="000000"/>
          <w:szCs w:val="20"/>
        </w:rPr>
        <w:t>]</w:t>
      </w:r>
      <w:r w:rsidRPr="00A50E7E">
        <w:rPr>
          <w:bCs/>
          <w:color w:val="000000"/>
          <w:szCs w:val="20"/>
          <w:lang w:val="id-ID"/>
        </w:rPr>
        <w:t>. Profitabilitas juga menunjukkan hasil yang beragam; beberapa studi menyatakan bahwa perusahaan dengan laba tinggi lebih cenderung menghindari pajak, sementara penelitian lain menunjukkan bahwa perusahaan yang sangat menguntungkan cenderung lebih patuh</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{"citationItems":[{"id":"ITEM-1","itemData":{"DOI":"10.47616/jamrems.v4i2.415","ISSN":"2708-9711","abstract":"Indonesia's economic growth from 2018 to 2022 is volatile; the residential property sector is projected to follow macroeconomic trends. Based on interviews with members of Real Estate Indonesia in the Bali region, sales of the property sector, especially large-type residential housing in Denpasar for the 2018-2019 period, experienced growth but not significantly. In contrast to the 2020-2022 period, it experienced significant growth amid the COVID-19 conditions. This phenomenon was not spared from the role of the developers, who carried out a good strategy regarding consumer behavior amid the economic difficulties at that time so that they were able to boost sales of large-type residential dwellings in Denpasar. This study analyzes the decisions of residential purchasing in Denpasar before and during the COVID-19 pandemic. So, there are two groups of samples for two periods, namely the years 2018-2019 and 2020-2022. The selected samples include 87 respondents of consumers and 60 respondents of developers. Data were analyzed using Smart-PLS using the Multi Group Analysis feature to examine the differences in the analysis results for the two sample groups. Developers were involved as a sample because they were assumed to be able to recognize the preferences of consumers in deciding residential purchasing. The results show a similarity of factors before and during the COVID-19 pandemic, namely promotion and the developer's image, significantly influencing residential buying decisions. Meanwhile, the factor that distinguished the two sample groups was the price factor, which significantly influenced the decision to buy housing before the pandemic, while environmental factors significantly affected the decision to buy housing during the pandemic.","author":[{"dropping-particle":"","family":"Hidayati","given":"Anissa Maria","non-dropping-particle":"","parse-names":false,"suffix":""},{"dropping-particle":"","family":"Dharmayanti","given":"Gusti Ayu Putu Candra","non-dropping-particle":"","parse-names":false,"suffix":""},{"dropping-particle":"","family":"Mertha","given":"Charlie Adi","non-dropping-particle":"","parse-names":false,"suffix":""}],"container-title":"Journal of Asian Multicultural Research for Economy and Management Study","id":"ITEM-1","issue":"2","issued":{"date-parts":[["2023","9","8"]]},"page":"15-24","title":"Decision to Residential Purchasing in Denpasar Before and During the Covid-19 Pandemic","type":"article-journal","volume":"4"},"uris":["http://www.mendeley.com/documents/?uuid=ea16853b-e311-4b5c-8a85-4b9cb9e4e2b8"]}],"mendeley":{"formattedCitation":"[8]","plainTextFormattedCitation":"[8]","previouslyFormattedCitation":"(Hidayati et al.,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8" w:history="1">
        <w:r w:rsidR="007C665C" w:rsidRPr="00A50E7E">
          <w:rPr>
            <w:rStyle w:val="Hyperlink"/>
            <w:bCs/>
            <w:szCs w:val="20"/>
            <w:u w:val="none"/>
            <w:lang w:val="id-ID"/>
          </w:rPr>
          <w:t>8</w:t>
        </w:r>
      </w:hyperlink>
      <w:r w:rsidR="007C665C" w:rsidRPr="00A50E7E">
        <w:rPr>
          <w:bCs/>
          <w:color w:val="000000"/>
          <w:szCs w:val="20"/>
          <w:lang w:val="id-ID"/>
        </w:rPr>
        <w:t>]</w:t>
      </w:r>
      <w:r w:rsidR="003964A3" w:rsidRPr="00A50E7E">
        <w:rPr>
          <w:bCs/>
          <w:color w:val="000000"/>
          <w:szCs w:val="20"/>
          <w:lang w:val="id-ID"/>
        </w:rPr>
        <w:fldChar w:fldCharType="end"/>
      </w:r>
      <w:r w:rsidR="00286CFF" w:rsidRPr="00A50E7E">
        <w:rPr>
          <w:bCs/>
          <w:color w:val="000000"/>
          <w:szCs w:val="20"/>
        </w:rPr>
        <w:t xml:space="preserve">, </w:t>
      </w:r>
      <w:r w:rsidR="00286CFF" w:rsidRPr="00A50E7E">
        <w:rPr>
          <w:bCs/>
          <w:color w:val="000000"/>
          <w:szCs w:val="20"/>
          <w:lang w:val="id-ID"/>
        </w:rPr>
        <w:fldChar w:fldCharType="begin" w:fldLock="1"/>
      </w:r>
      <w:r w:rsidR="00286CFF" w:rsidRPr="00A50E7E">
        <w:rPr>
          <w:bCs/>
          <w:color w:val="000000"/>
          <w:szCs w:val="20"/>
          <w:lang w:val="id-ID"/>
        </w:rPr>
        <w:instrText>ADDIN CSL_CITATION {"citationItems":[{"id":"ITEM-1","itemData":{"DOI":"10.2991/assehr.k.210304.112","author":[{"dropping-particle":"","family":"Pahmi","given":"Muhamah Ali","non-dropping-particle":"","parse-names":false,"suffix":""},{"dropping-particle":"","family":"Imtihan","given":"Miftahul","non-dropping-particle":"","parse-names":false,"suffix":""},{"dropping-particle":"","family":"Mujiarto","given":"","non-dropping-particle":"","parse-names":false,"suffix":""}],"id":"ITEM-1","issued":{"date-parts":[["2021"]]},"title":"Review the Development of the Indonesian Property Sector Amidst 2019 Global Economic Stagnation and Predictions on Post COVID-19 2020 Recovery","type":"paper-conference"},"uris":["http://www.mendeley.com/documents/?uuid=dd50f940-53ee-4c9b-baec-2f7c908e9f07"]}],"mendeley":{"formattedCitation":"[9]","plainTextFormattedCitation":"[9]","previouslyFormattedCitation":"(Pahmi et al., 2021)"},"properties":{"noteIndex":0},"schema":"https://github.com/citation-style-language/schema/raw/master/csl-citation.json"}</w:instrText>
      </w:r>
      <w:r w:rsidR="00286CFF" w:rsidRPr="00A50E7E">
        <w:rPr>
          <w:bCs/>
          <w:color w:val="000000"/>
          <w:szCs w:val="20"/>
          <w:lang w:val="id-ID"/>
        </w:rPr>
        <w:fldChar w:fldCharType="separate"/>
      </w:r>
      <w:r w:rsidR="00286CFF" w:rsidRPr="00A50E7E">
        <w:rPr>
          <w:bCs/>
          <w:color w:val="000000"/>
          <w:szCs w:val="20"/>
          <w:lang w:val="id-ID"/>
        </w:rPr>
        <w:t>[</w:t>
      </w:r>
      <w:hyperlink w:anchor="a9" w:history="1">
        <w:r w:rsidR="00286CFF" w:rsidRPr="00A50E7E">
          <w:rPr>
            <w:rStyle w:val="Hyperlink"/>
            <w:bCs/>
            <w:szCs w:val="20"/>
            <w:u w:val="none"/>
            <w:lang w:val="id-ID"/>
          </w:rPr>
          <w:t>9</w:t>
        </w:r>
      </w:hyperlink>
      <w:r w:rsidR="00286CFF" w:rsidRPr="00A50E7E">
        <w:rPr>
          <w:bCs/>
          <w:color w:val="000000"/>
          <w:szCs w:val="20"/>
          <w:lang w:val="id-ID"/>
        </w:rPr>
        <w:t>]</w:t>
      </w:r>
      <w:r w:rsidR="00286CFF" w:rsidRPr="00A50E7E">
        <w:rPr>
          <w:bCs/>
          <w:color w:val="000000"/>
          <w:szCs w:val="20"/>
          <w:lang w:val="id-ID"/>
        </w:rPr>
        <w:fldChar w:fldCharType="end"/>
      </w:r>
      <w:r w:rsidRPr="00A50E7E">
        <w:rPr>
          <w:bCs/>
          <w:color w:val="000000"/>
          <w:szCs w:val="20"/>
          <w:lang w:val="id-ID"/>
        </w:rPr>
        <w:t>. Hal serupa terjadi pada ukuran perusahaan, di mana</w:t>
      </w:r>
      <w:r w:rsidR="00046BFC">
        <w:rPr>
          <w:bCs/>
          <w:color w:val="000000"/>
          <w:szCs w:val="20"/>
          <w:lang w:val="id-ID"/>
        </w:rPr>
        <w:t xml:space="preserve"> </w:t>
      </w:r>
      <w:proofErr w:type="spellStart"/>
      <w:r w:rsidR="00286CFF" w:rsidRPr="00A50E7E">
        <w:rPr>
          <w:bCs/>
          <w:color w:val="000000"/>
          <w:szCs w:val="20"/>
        </w:rPr>
        <w:t>dite</w:t>
      </w:r>
      <w:r w:rsidRPr="00A50E7E">
        <w:rPr>
          <w:bCs/>
          <w:color w:val="000000"/>
          <w:szCs w:val="20"/>
          <w:lang w:val="id-ID"/>
        </w:rPr>
        <w:t>mukan</w:t>
      </w:r>
      <w:proofErr w:type="spellEnd"/>
      <w:r w:rsidRPr="00A50E7E">
        <w:rPr>
          <w:bCs/>
          <w:color w:val="000000"/>
          <w:szCs w:val="20"/>
          <w:lang w:val="id-ID"/>
        </w:rPr>
        <w:t xml:space="preserve"> pengaruh positif karena skala dan sumber daya yang besar</w:t>
      </w:r>
      <w:r w:rsidR="00286CFF" w:rsidRPr="00A50E7E">
        <w:rPr>
          <w:bCs/>
          <w:color w:val="000000"/>
          <w:szCs w:val="20"/>
        </w:rPr>
        <w:t xml:space="preserve"> [</w:t>
      </w:r>
      <w:hyperlink w:anchor="a10" w:history="1">
        <w:r w:rsidR="00286CFF" w:rsidRPr="00A50E7E">
          <w:rPr>
            <w:rStyle w:val="Hyperlink"/>
            <w:bCs/>
            <w:szCs w:val="20"/>
            <w:u w:val="none"/>
          </w:rPr>
          <w:t>10</w:t>
        </w:r>
      </w:hyperlink>
      <w:r w:rsidR="00286CFF" w:rsidRPr="00A50E7E">
        <w:rPr>
          <w:bCs/>
          <w:color w:val="000000"/>
          <w:szCs w:val="20"/>
        </w:rPr>
        <w:t>].</w:t>
      </w:r>
      <w:r w:rsidRPr="00A50E7E">
        <w:rPr>
          <w:bCs/>
          <w:color w:val="000000"/>
          <w:szCs w:val="20"/>
          <w:lang w:val="id-ID"/>
        </w:rPr>
        <w:t xml:space="preserve"> </w:t>
      </w:r>
      <w:r w:rsidR="00286CFF" w:rsidRPr="00A50E7E">
        <w:rPr>
          <w:bCs/>
          <w:color w:val="000000"/>
          <w:szCs w:val="20"/>
          <w:lang w:val="id-ID"/>
        </w:rPr>
        <w:t>Sementara</w:t>
      </w:r>
      <w:r w:rsidR="00286CFF" w:rsidRPr="00A50E7E">
        <w:rPr>
          <w:bCs/>
          <w:color w:val="000000"/>
          <w:szCs w:val="20"/>
        </w:rPr>
        <w:t xml:space="preserve">, </w:t>
      </w:r>
      <w:proofErr w:type="spellStart"/>
      <w:r w:rsidR="00286CFF" w:rsidRPr="00A50E7E">
        <w:rPr>
          <w:bCs/>
          <w:color w:val="000000"/>
          <w:szCs w:val="20"/>
        </w:rPr>
        <w:t>penelitian</w:t>
      </w:r>
      <w:proofErr w:type="spellEnd"/>
      <w:r w:rsidR="00286CFF" w:rsidRPr="00A50E7E">
        <w:rPr>
          <w:bCs/>
          <w:color w:val="000000"/>
          <w:szCs w:val="20"/>
        </w:rPr>
        <w:t xml:space="preserve"> lain </w:t>
      </w:r>
      <w:r w:rsidRPr="00A50E7E">
        <w:rPr>
          <w:bCs/>
          <w:color w:val="000000"/>
          <w:szCs w:val="20"/>
          <w:lang w:val="id-ID"/>
        </w:rPr>
        <w:t>menemukan pengaruh negatif dengan alasan efisiensi biaya lebih dominan pada perusahaan kecil</w:t>
      </w:r>
      <w:r w:rsidR="00286CFF" w:rsidRPr="00A50E7E">
        <w:rPr>
          <w:bCs/>
          <w:color w:val="000000"/>
          <w:szCs w:val="20"/>
        </w:rPr>
        <w:t xml:space="preserve"> </w:t>
      </w:r>
      <w:r w:rsidR="00286CFF" w:rsidRPr="00A50E7E">
        <w:rPr>
          <w:bCs/>
          <w:color w:val="000000"/>
          <w:szCs w:val="20"/>
          <w:lang w:val="id-ID"/>
        </w:rPr>
        <w:fldChar w:fldCharType="begin" w:fldLock="1"/>
      </w:r>
      <w:r w:rsidR="00286CFF" w:rsidRPr="00A50E7E">
        <w:rPr>
          <w:bCs/>
          <w:color w:val="000000"/>
          <w:szCs w:val="20"/>
          <w:lang w:val="id-ID"/>
        </w:rPr>
        <w:instrText>ADDIN CSL_CITATION {"citationItems":[{"id":"ITEM-1","itemData":{"DOI":"10.21532/apfjournal.v6i2.222","ISSN":"2502-695X","abstract":"The purpose of this study was to determine and analyze the the role of Independent Commissioners in moderating the effect of profitability, company size, and company risk on tax avoidance in manufacturing companies on the Indonesia Stock Exchange period 2016-2018 with a total of 77 companies. The sampling technique in this study used a purposive sampling technique with a total observation are of 231 firm-years. With multiple regression analysis, this research showed that the Company’s Profitability and Risk had a significant positive effect on Tax Avoidance, while Company Size did not have a significant effect on Tax Avoidance. The Independent Commissioners succeeded in weakening the positive influence of profitability and company risk on tax avoidance.This research succeeds in proving that as a component of the corporate governance mechanism, the Independent Commissioner has a role in supervising managerial decisions, including tax decision.","author":[{"dropping-particle":"","family":"Asih","given":"Kurnia Laras","non-dropping-particle":"","parse-names":false,"suffix":""},{"dropping-particle":"","family":"Darmawati","given":"Deni","non-dropping-particle":"","parse-names":false,"suffix":""}],"container-title":"Asia Pacific Fraud Journal","id":"ITEM-1","issue":"2","issued":{"date-parts":[["2022","1","1"]]},"page":"235","title":"The Role of Independend Commisioners in Moderating the Effect of Profitability, Company Size and Company Risk on Tax Avoidance","type":"article-journal","volume":"6"},"uris":["http://www.mendeley.com/documents/?uuid=93b97bf9-78b5-4e7b-9660-6487578606df"]}],"mendeley":{"formattedCitation":"[10]","plainTextFormattedCitation":"[10]","previouslyFormattedCitation":"(Asih &amp; Darmawati, 2022)"},"properties":{"noteIndex":0},"schema":"https://github.com/citation-style-language/schema/raw/master/csl-citation.json"}</w:instrText>
      </w:r>
      <w:r w:rsidR="00286CFF" w:rsidRPr="00A50E7E">
        <w:rPr>
          <w:bCs/>
          <w:color w:val="000000"/>
          <w:szCs w:val="20"/>
          <w:lang w:val="id-ID"/>
        </w:rPr>
        <w:fldChar w:fldCharType="separate"/>
      </w:r>
      <w:r w:rsidR="00286CFF" w:rsidRPr="00A50E7E">
        <w:rPr>
          <w:bCs/>
          <w:color w:val="000000"/>
          <w:szCs w:val="20"/>
          <w:lang w:val="id-ID"/>
        </w:rPr>
        <w:t>[</w:t>
      </w:r>
      <w:hyperlink w:anchor="a11" w:history="1">
        <w:r w:rsidR="00286CFF" w:rsidRPr="00A50E7E">
          <w:rPr>
            <w:rStyle w:val="Hyperlink"/>
            <w:bCs/>
            <w:szCs w:val="20"/>
            <w:u w:val="none"/>
            <w:lang w:val="id-ID"/>
          </w:rPr>
          <w:t>1</w:t>
        </w:r>
        <w:r w:rsidR="00286CFF" w:rsidRPr="00A50E7E">
          <w:rPr>
            <w:rStyle w:val="Hyperlink"/>
            <w:bCs/>
            <w:szCs w:val="20"/>
            <w:u w:val="none"/>
          </w:rPr>
          <w:t>1</w:t>
        </w:r>
      </w:hyperlink>
      <w:r w:rsidR="00286CFF" w:rsidRPr="00A50E7E">
        <w:rPr>
          <w:bCs/>
          <w:color w:val="000000"/>
          <w:szCs w:val="20"/>
          <w:lang w:val="id-ID"/>
        </w:rPr>
        <w:t>]</w:t>
      </w:r>
      <w:r w:rsidR="00286CFF" w:rsidRPr="00A50E7E">
        <w:rPr>
          <w:bCs/>
          <w:color w:val="000000"/>
          <w:szCs w:val="20"/>
          <w:lang w:val="id-ID"/>
        </w:rPr>
        <w:fldChar w:fldCharType="end"/>
      </w:r>
      <w:r w:rsidRPr="00A50E7E">
        <w:rPr>
          <w:bCs/>
          <w:color w:val="000000"/>
          <w:szCs w:val="20"/>
          <w:lang w:val="id-ID"/>
        </w:rPr>
        <w:t xml:space="preserve">. </w:t>
      </w:r>
      <w:proofErr w:type="spellStart"/>
      <w:r w:rsidRPr="00A50E7E">
        <w:rPr>
          <w:bCs/>
          <w:color w:val="000000"/>
          <w:szCs w:val="20"/>
          <w:lang w:val="id-ID"/>
        </w:rPr>
        <w:t>Ketidakkonsistenan</w:t>
      </w:r>
      <w:proofErr w:type="spellEnd"/>
      <w:r w:rsidRPr="00A50E7E">
        <w:rPr>
          <w:bCs/>
          <w:color w:val="000000"/>
          <w:szCs w:val="20"/>
          <w:lang w:val="id-ID"/>
        </w:rPr>
        <w:t xml:space="preserve"> ini menunjukkan adanya </w:t>
      </w:r>
      <w:proofErr w:type="spellStart"/>
      <w:r w:rsidRPr="00A50E7E">
        <w:rPr>
          <w:bCs/>
          <w:i/>
          <w:iCs/>
          <w:color w:val="000000"/>
          <w:szCs w:val="20"/>
          <w:lang w:val="id-ID"/>
        </w:rPr>
        <w:t>research</w:t>
      </w:r>
      <w:proofErr w:type="spellEnd"/>
      <w:r w:rsidRPr="00A50E7E">
        <w:rPr>
          <w:bCs/>
          <w:i/>
          <w:iCs/>
          <w:color w:val="000000"/>
          <w:szCs w:val="20"/>
          <w:lang w:val="id-ID"/>
        </w:rPr>
        <w:t xml:space="preserve"> gap</w:t>
      </w:r>
      <w:r w:rsidRPr="00A50E7E">
        <w:rPr>
          <w:bCs/>
          <w:color w:val="000000"/>
          <w:szCs w:val="20"/>
          <w:lang w:val="id-ID"/>
        </w:rPr>
        <w:t xml:space="preserve"> yang perlu dikaji lebih lanjut, khususnya dalam konteks subsektor properti dan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yang memiliki karakteristik keuangan tersendiri.</w:t>
      </w:r>
    </w:p>
    <w:p w14:paraId="05FBD7D6" w14:textId="635B4E7D" w:rsidR="00E634F5" w:rsidRPr="00A50E7E" w:rsidRDefault="00E634F5" w:rsidP="00286CFF">
      <w:pPr>
        <w:spacing w:before="120" w:after="120"/>
        <w:rPr>
          <w:bCs/>
          <w:color w:val="000000"/>
          <w:lang w:val="id-ID"/>
        </w:rPr>
      </w:pPr>
      <w:r w:rsidRPr="00A50E7E">
        <w:rPr>
          <w:bCs/>
          <w:color w:val="000000"/>
          <w:szCs w:val="20"/>
          <w:lang w:val="id-ID"/>
        </w:rPr>
        <w:t xml:space="preserve">Penelitian ini bertujuan untuk mengisi kesenjangan tersebut dengan menggunakan pendekatan kuantitatif melalui data panel perusahaan subsektor properti dan </w:t>
      </w:r>
      <w:r w:rsidRPr="00A50E7E">
        <w:rPr>
          <w:bCs/>
          <w:i/>
          <w:iCs/>
          <w:color w:val="000000"/>
          <w:szCs w:val="20"/>
          <w:lang w:val="id-ID"/>
        </w:rPr>
        <w:t xml:space="preserve">real </w:t>
      </w:r>
      <w:proofErr w:type="spellStart"/>
      <w:r w:rsidRPr="00A50E7E">
        <w:rPr>
          <w:bCs/>
          <w:i/>
          <w:iCs/>
          <w:color w:val="000000"/>
          <w:szCs w:val="20"/>
          <w:lang w:val="id-ID"/>
        </w:rPr>
        <w:t>estate</w:t>
      </w:r>
      <w:proofErr w:type="spellEnd"/>
      <w:r w:rsidRPr="00A50E7E">
        <w:rPr>
          <w:bCs/>
          <w:color w:val="000000"/>
          <w:szCs w:val="20"/>
          <w:lang w:val="id-ID"/>
        </w:rPr>
        <w:t xml:space="preserve"> yang terdaftar</w:t>
      </w:r>
      <w:r w:rsidR="00046BFC">
        <w:rPr>
          <w:bCs/>
          <w:color w:val="000000"/>
          <w:szCs w:val="20"/>
          <w:lang w:val="id-ID"/>
        </w:rPr>
        <w:t xml:space="preserve"> </w:t>
      </w:r>
      <w:r w:rsidRPr="00A50E7E">
        <w:rPr>
          <w:bCs/>
          <w:color w:val="000000"/>
          <w:szCs w:val="20"/>
          <w:lang w:val="id-ID"/>
        </w:rPr>
        <w:t>di</w:t>
      </w:r>
      <w:r w:rsidR="00046BFC">
        <w:rPr>
          <w:bCs/>
          <w:color w:val="000000"/>
          <w:szCs w:val="20"/>
          <w:lang w:val="id-ID"/>
        </w:rPr>
        <w:t xml:space="preserve"> </w:t>
      </w:r>
      <w:r w:rsidRPr="00A50E7E">
        <w:rPr>
          <w:bCs/>
          <w:color w:val="000000"/>
          <w:szCs w:val="20"/>
          <w:lang w:val="id-ID"/>
        </w:rPr>
        <w:t>Bursa</w:t>
      </w:r>
      <w:r w:rsidR="00046BFC">
        <w:rPr>
          <w:bCs/>
          <w:color w:val="000000"/>
          <w:szCs w:val="20"/>
          <w:lang w:val="id-ID"/>
        </w:rPr>
        <w:t xml:space="preserve"> </w:t>
      </w:r>
      <w:r w:rsidRPr="00A50E7E">
        <w:rPr>
          <w:bCs/>
          <w:color w:val="000000"/>
          <w:szCs w:val="20"/>
          <w:lang w:val="id-ID"/>
        </w:rPr>
        <w:t>Efek</w:t>
      </w:r>
      <w:r w:rsidR="00046BFC">
        <w:rPr>
          <w:bCs/>
          <w:color w:val="000000"/>
          <w:szCs w:val="20"/>
          <w:lang w:val="id-ID"/>
        </w:rPr>
        <w:t xml:space="preserve"> </w:t>
      </w:r>
      <w:r w:rsidRPr="00A50E7E">
        <w:rPr>
          <w:bCs/>
          <w:color w:val="000000"/>
          <w:szCs w:val="20"/>
          <w:lang w:val="id-ID"/>
        </w:rPr>
        <w:t>Indonesia</w:t>
      </w:r>
      <w:r w:rsidR="00046BFC">
        <w:rPr>
          <w:bCs/>
          <w:color w:val="000000"/>
          <w:szCs w:val="20"/>
          <w:lang w:val="id-ID"/>
        </w:rPr>
        <w:t xml:space="preserve"> </w:t>
      </w:r>
      <w:r w:rsidRPr="00A50E7E">
        <w:rPr>
          <w:bCs/>
          <w:color w:val="000000"/>
          <w:szCs w:val="20"/>
          <w:lang w:val="id-ID"/>
        </w:rPr>
        <w:t>pada</w:t>
      </w:r>
      <w:r w:rsidR="00046BFC">
        <w:rPr>
          <w:bCs/>
          <w:color w:val="000000"/>
          <w:szCs w:val="20"/>
          <w:lang w:val="id-ID"/>
        </w:rPr>
        <w:t xml:space="preserve"> </w:t>
      </w:r>
      <w:r w:rsidRPr="00A50E7E">
        <w:rPr>
          <w:bCs/>
          <w:color w:val="000000"/>
          <w:szCs w:val="20"/>
          <w:lang w:val="id-ID"/>
        </w:rPr>
        <w:lastRenderedPageBreak/>
        <w:t>periode</w:t>
      </w:r>
      <w:r w:rsidR="00046BFC">
        <w:rPr>
          <w:bCs/>
          <w:color w:val="000000"/>
          <w:szCs w:val="20"/>
          <w:lang w:val="id-ID"/>
        </w:rPr>
        <w:t xml:space="preserve"> </w:t>
      </w:r>
      <w:r w:rsidRPr="00A50E7E">
        <w:rPr>
          <w:bCs/>
          <w:color w:val="000000"/>
          <w:szCs w:val="20"/>
          <w:lang w:val="id-ID"/>
        </w:rPr>
        <w:t>2018–2024.</w:t>
      </w:r>
      <w:r w:rsidR="00046BFC">
        <w:rPr>
          <w:bCs/>
          <w:color w:val="000000"/>
          <w:szCs w:val="20"/>
          <w:lang w:val="id-ID"/>
        </w:rPr>
        <w:t xml:space="preserve"> </w:t>
      </w:r>
      <w:r w:rsidRPr="00A50E7E">
        <w:rPr>
          <w:bCs/>
          <w:color w:val="000000"/>
          <w:szCs w:val="20"/>
          <w:lang w:val="id-ID"/>
        </w:rPr>
        <w:t>Pendekatan</w:t>
      </w:r>
      <w:r w:rsidR="00046BFC">
        <w:rPr>
          <w:bCs/>
          <w:color w:val="000000"/>
          <w:szCs w:val="20"/>
          <w:lang w:val="id-ID"/>
        </w:rPr>
        <w:t xml:space="preserve"> </w:t>
      </w:r>
      <w:r w:rsidRPr="00A50E7E">
        <w:rPr>
          <w:bCs/>
          <w:color w:val="000000"/>
          <w:szCs w:val="20"/>
          <w:lang w:val="id-ID"/>
        </w:rPr>
        <w:t>panel</w:t>
      </w:r>
      <w:r w:rsidR="00046BFC">
        <w:rPr>
          <w:bCs/>
          <w:color w:val="000000"/>
          <w:szCs w:val="20"/>
          <w:lang w:val="id-ID"/>
        </w:rPr>
        <w:t xml:space="preserve"> </w:t>
      </w:r>
      <w:r w:rsidRPr="00A50E7E">
        <w:rPr>
          <w:bCs/>
          <w:color w:val="000000"/>
          <w:szCs w:val="20"/>
          <w:lang w:val="id-ID"/>
        </w:rPr>
        <w:t>data</w:t>
      </w:r>
      <w:r w:rsidR="00286CFF" w:rsidRPr="00A50E7E">
        <w:rPr>
          <w:bCs/>
          <w:color w:val="000000"/>
          <w:szCs w:val="20"/>
        </w:rPr>
        <w:t xml:space="preserve"> </w:t>
      </w:r>
      <w:r w:rsidRPr="00A50E7E">
        <w:rPr>
          <w:bCs/>
          <w:color w:val="000000"/>
          <w:lang w:val="id-ID"/>
        </w:rPr>
        <w:t>memungkinkan analisis yang lebih akurat dan komprehensif terhadap hubungan antar variabel secara lintas waktu dan antar perusahaan</w:t>
      </w:r>
      <w:r w:rsidR="003964A3" w:rsidRPr="00A50E7E">
        <w:rPr>
          <w:bCs/>
          <w:color w:val="000000"/>
          <w:lang w:val="id-ID"/>
        </w:rPr>
        <w:t xml:space="preserve"> </w:t>
      </w:r>
      <w:r w:rsidR="003964A3" w:rsidRPr="00A50E7E">
        <w:rPr>
          <w:bCs/>
          <w:color w:val="000000"/>
          <w:lang w:val="id-ID"/>
        </w:rPr>
        <w:fldChar w:fldCharType="begin" w:fldLock="1"/>
      </w:r>
      <w:r w:rsidR="007C665C" w:rsidRPr="00A50E7E">
        <w:rPr>
          <w:bCs/>
          <w:color w:val="000000"/>
          <w:lang w:val="id-ID"/>
        </w:rPr>
        <w:instrText>ADDIN CSL_CITATION {"citationItems":[{"id":"ITEM-1","itemData":{"DOI":"10.53867/jea.v1i2.21","ISSN":"2807-1212","abstract":"Abstrak Penelitian ini bertujuan untuk menganalisis pengaruh inflasi, nilai tukar (kurs), tingkat suku bunga deposito dan pertumbuhan PDB terhadap pergerakan indeks harga saham sektor properti dan real estate di Bursa Efek Indonesia. Penelitian ini dilakukan dengan menggunakan data sekunder berupa data tahunan periode 2000-2018 yang bersumber dari Badan Pusat Statistik, Bank Indonesia (Statistik Ekonomi dan keuangan Indonesia dan laporan perekonomian Indonesial), Bursa Efek Indonesia (BEI) (IDX statistics) dan instansi lain yang terkait dengan penelitian. Alat analisis yang digunakan dalam penelitian adalah regresi linear berganda. Hasil penelitian menunjukkan bahwa variabel independen secara simultan berpengaruh signifikan terhadap pergerakan indeks harga saham sektor properti dan real estate. Secara parsial inflasi, nilai tukar, tingkat suku bunga deposito berpengaruh signifikan terhadap indeks harga saham sektor properti dan real estate, sedangkan pertumbuhan PDB tidak berpengaruh signifikan terhadap indeks harga saham sektor properti dan real estate.","author":[{"dropping-particle":"","family":"Hasanah","given":"Lisa Uswatun","non-dropping-particle":"","parse-names":false,"suffix":""},{"dropping-particle":"","family":"Haryadi","given":"Haryadi","non-dropping-particle":"","parse-names":false,"suffix":""},{"dropping-particle":"","family":"Emilia","given":"Emilia","non-dropping-particle":"","parse-names":false,"suffix":""}],"container-title":"Jurnal Ekonomi Aktual","id":"ITEM-1","issue":"2","issued":{"date-parts":[["2021","12","31"]]},"page":"85-98","title":"Studi Variabel Makroekonomi dan Pengaruhnya terhadap Indeks Harga Saham Sektor Properti dan Real Estate di Bursa Efek Indonesia","type":"article-journal","volume":"1"},"uris":["http://www.mendeley.com/documents/?uuid=d5b71c89-b61f-4a1d-887d-fbb358d9754b"]}],"mendeley":{"formattedCitation":"[12]","plainTextFormattedCitation":"[12]","previouslyFormattedCitation":"(Hasanah et al., 2021)"},"properties":{"noteIndex":0},"schema":"https://github.com/citation-style-language/schema/raw/master/csl-citation.json"}</w:instrText>
      </w:r>
      <w:r w:rsidR="003964A3" w:rsidRPr="00A50E7E">
        <w:rPr>
          <w:bCs/>
          <w:color w:val="000000"/>
          <w:lang w:val="id-ID"/>
        </w:rPr>
        <w:fldChar w:fldCharType="separate"/>
      </w:r>
      <w:r w:rsidR="007C665C" w:rsidRPr="00A50E7E">
        <w:rPr>
          <w:bCs/>
          <w:color w:val="000000"/>
          <w:lang w:val="id-ID"/>
        </w:rPr>
        <w:t>[</w:t>
      </w:r>
      <w:hyperlink w:anchor="a12" w:history="1">
        <w:r w:rsidR="007C665C" w:rsidRPr="00A50E7E">
          <w:rPr>
            <w:rStyle w:val="Hyperlink"/>
            <w:bCs/>
            <w:u w:val="none"/>
            <w:lang w:val="id-ID"/>
          </w:rPr>
          <w:t>12</w:t>
        </w:r>
      </w:hyperlink>
      <w:r w:rsidR="007C665C" w:rsidRPr="00A50E7E">
        <w:rPr>
          <w:bCs/>
          <w:color w:val="000000"/>
          <w:lang w:val="id-ID"/>
        </w:rPr>
        <w:t>]</w:t>
      </w:r>
      <w:r w:rsidR="003964A3" w:rsidRPr="00A50E7E">
        <w:rPr>
          <w:bCs/>
          <w:color w:val="000000"/>
          <w:lang w:val="id-ID"/>
        </w:rPr>
        <w:fldChar w:fldCharType="end"/>
      </w:r>
      <w:r w:rsidRPr="00A50E7E">
        <w:rPr>
          <w:bCs/>
          <w:color w:val="000000"/>
          <w:lang w:val="id-ID"/>
        </w:rPr>
        <w:t xml:space="preserve">. Dengan menggunakan indikator-indikator keuangan yang terukur dan objektif, diharapkan penelitian ini mampu memberikan kontribusi empiris yang relevan dalam memahami pengaruh struktur modal, profitabilitas, dan ukuran perusahaan terhadap praktik </w:t>
      </w:r>
      <w:proofErr w:type="spellStart"/>
      <w:r w:rsidRPr="00A50E7E">
        <w:rPr>
          <w:bCs/>
          <w:i/>
          <w:color w:val="000000"/>
          <w:lang w:val="id-ID"/>
        </w:rPr>
        <w:t>tax</w:t>
      </w:r>
      <w:proofErr w:type="spellEnd"/>
      <w:r w:rsidRPr="00A50E7E">
        <w:rPr>
          <w:bCs/>
          <w:i/>
          <w:color w:val="000000"/>
          <w:lang w:val="id-ID"/>
        </w:rPr>
        <w:t xml:space="preserve"> </w:t>
      </w:r>
      <w:proofErr w:type="spellStart"/>
      <w:r w:rsidRPr="00A50E7E">
        <w:rPr>
          <w:bCs/>
          <w:i/>
          <w:color w:val="000000"/>
          <w:lang w:val="id-ID"/>
        </w:rPr>
        <w:t>avoidance</w:t>
      </w:r>
      <w:proofErr w:type="spellEnd"/>
      <w:r w:rsidRPr="00A50E7E">
        <w:rPr>
          <w:bCs/>
          <w:color w:val="000000"/>
          <w:lang w:val="id-ID"/>
        </w:rPr>
        <w:t>.</w:t>
      </w:r>
    </w:p>
    <w:p w14:paraId="2993DF18" w14:textId="7343E0F9" w:rsidR="00E634F5" w:rsidRPr="00A50E7E" w:rsidRDefault="00E634F5" w:rsidP="00286CFF">
      <w:pPr>
        <w:spacing w:before="120" w:after="120"/>
        <w:rPr>
          <w:bCs/>
          <w:color w:val="000000"/>
          <w:szCs w:val="20"/>
          <w:lang w:val="id-ID"/>
        </w:rPr>
      </w:pPr>
      <w:r w:rsidRPr="00A50E7E">
        <w:rPr>
          <w:bCs/>
          <w:color w:val="000000"/>
          <w:szCs w:val="20"/>
          <w:lang w:val="id-ID"/>
        </w:rPr>
        <w:t>Secara teoritis, penelitian ini berkontribusi terhadap pengembangan literatur di bidang akuntansi perpajakan dan manajemen keuangan. Bagi kalangan akademisi, hasil penelitian ini dapat memperkaya perspektif dalam menjelaskan perilaku perpajakan korporasi berdasarkan karakteristik keuangan perusahaan</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{"citationItems":[{"id":"ITEM-1","itemData":{"DOI":"10.32534/jpk.v11i1.5473","ISSN":"2685-9750","abstract":"Abstrak Perusahaan selalu berusaha untuk membayar pajak sesedikit mungkin, karena pajak mengakibatkan berkurangnya pendapatan. Dalam upaya meningkatkan efisiensi beban pajak, banyak perusahaan yang melakukan penghindaran pajak. Perusahaan property dan real estate menjadi objek karena saat ini perusahaan property dan real estate di Indonesia sedang berkembang pesat, kewajiban perpajakannya harus diperhatikan, karena membayar pajak merupakan hal yang penting bagi negara. Penelitian ini bertujuan untuk menganalisis pengaruh leverage dan ukuran perusahaan terhadap penghindaran pajak pada perusahaan properti dan real estate yang terdaftar di Bursa Efek Indonesia (BEI) periode 2017-2022. Penghindaran pajak dalam penelitian ini diukur dengan Effective Tax Rate (ETR). Penentuan sampel penelitian ini menggunakan metode purposive sampling dan diperoleh sampel penelitian sebanyak 46 perusahaan. Pengujian hipotesis dalam penelitian ini menggunakan metode regresi linier berganda dengan menggunakan Eviews versi 12. Hasil penelitian ini menunjukkan bahwa secara parsial variabel leverage tidak berpengaruh terhadap penghindaran pajak, variabel ukuran perusahaan berpengaruh positif dan signifikan terhadap penghindaran pajak. Dan secara simultan variabel leverage dan ukuran perusahaan berpengaruh positif dan signifikan terhadap penghindaran pajak. Kata Kunci: Leverage, ukuran perusahaan, penghindaran pajak","author":[{"dropping-particle":"","family":"Rustiani","given":"Tri","non-dropping-particle":"","parse-names":false,"suffix":""},{"dropping-particle":"","family":"Tyas","given":"Isthi Wahyuning","non-dropping-particle":"","parse-names":false,"suffix":""},{"dropping-particle":"","family":"Juniarto","given":"Antonius","non-dropping-particle":"","parse-names":false,"suffix":""}],"container-title":"Jurnal Proaksi","id":"ITEM-1","issue":"1","issued":{"date-parts":[["2024","3","31"]]},"page":"102-120","title":"PENGARUH LEVERAGE DAN UKURAN PERUSAHAAN TERHADAP TAX AVOIDENCE","type":"article-journal","volume":"11"},"uris":["http://www.mendeley.com/documents/?uuid=6961de7c-5871-4602-8237-ff1f0634c9b9"]}],"mendeley":{"formattedCitation":"[6]","plainTextFormattedCitation":"[6]","previouslyFormattedCitation":"(Rustiani et al., 2024)"},"properties":{"noteIndex":0},"schema":"https://github.com/citation-style-language/schema/raw/master/csl-citation.json"}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6" w:history="1">
        <w:r w:rsidR="007C665C" w:rsidRPr="00A50E7E">
          <w:rPr>
            <w:rStyle w:val="Hyperlink"/>
            <w:bCs/>
            <w:szCs w:val="20"/>
            <w:u w:val="none"/>
            <w:lang w:val="id-ID"/>
          </w:rPr>
          <w:t>6</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Sementara itu, dari sisi praktis, penelitian ini dapat menjadi dasar bagi pembuat kebijakan fiskal untuk menyusun regulasi perpajakan yang lebih adil dan adaptif terhadap realitas usaha</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{"citationItems":[{"id":"ITEM-1","itemData":{"DOI":"10.25105/jet.v3i1.15437","ISSN":"2339-0840","abstract":"Tujuan dari penelitian ini adalah menganalisis kinerja keuangan perusahaan yang berguna untuk mendukung pengambilan keputusan bagi perusahaan sektor properti dan real estate yang terdaftar di Bursa Efek Indonesia sebelum dan selama pandemi Covid-19. Dalam penelitian ini peneliti menggunakan laporan keuangan berupa neraca dan laba rugi pada perusahaan sektor properti dan real estate yang berturut-turut terdaftar pada Indeks LQ45 Bursa Efek Indonesia sebelum dan selama pandemi Covid-19 yaitu pada PT Pembangunan Perumahan (Persero), Tbk., PT Bumi Serpong Damai, Tbk., PT Alam Sutera Reality, Tbk., PT Lippo Karawaci, Tbk., dan PT Sentul City Tbk. Alat analisis yang digunakan dalam penelitian ini adalah rasio keuangan likuiditas, solvabilitas, dan profitabilitas. Hasil dari analisis yang peneliti lakukan dapat disimpulkan bahwa pandemi Covid-19 berpengaruh terhadap kinerja keuangan perusahaan sektor properti dan real estate jika diukur menggunakan rasio likuiditas, solvabilitas, dan profitabilitas. Berdasarkan rasio likuiditas terdapat penurunan kemampuan perusahaan sektor properti dan real estate dalam memenuhi kewajiban atau membayar utang jangka pendeknya. Berdasarkan rasio solvabilitas terdapat penurunan kemampuan perusahaan sektor properti dan real estate dalam memenuhi kewajiban hutang jangka panjangnya. Berdasarkan rasio profitabilitas terdapat penurunan kemampuan perusahaan sektor properti dan real estate dalam mendapatkan laba dari pendapatan terkait penjualan, aset, dan ekuitas perusahaan berdasarkan dasar pengukuran tertentu. The purpose of this research is to analyze the company's financial performance which is useful for supporting decision-making for property and real estate sector companies listed on the Indonesia Stock Exchange before and during the Covid-19 pandemic. In this research, researchers used financial statements in the form of balance sheets and profit and loss in property and real estate sector companies that were successively listed on the Indonesia Stock Exchange LQ45 Index before and during the Covid-19 pandemic, namely at PT Pembangunan Perumahan (Persero), Tbk., PT Bumi Serpong Damai, Tbk., PT Alam Sutera Reality, Tbk., PT Lippo Karawaci, Tbk., and PT Sentul City Tbk. The analytical tool used in this research is the liquidity, solvency, and profitability ratios. The results of the analysis conducted by researchers can be concluded that the Covid-19 pandemic affects the financial performance of property and real estate sector c…","author":[{"dropping-particle":"","family":"Silindung","given":"Satrio","non-dropping-particle":"","parse-names":false,"suffix":""},{"dropping-particle":"","family":"Budi","given":"Bagus","non-dropping-particle":"","parse-names":false,"suffix":""},{"dropping-particle":"","family":"Yanti","given":"Harti","non-dropping-particle":"","parse-names":false,"suffix":""}],"container-title":"Jurnal Ekonomi Trisakti","id":"ITEM-1","issue":"1","issued":{"date-parts":[["2023","1","16"]]},"page":"329-340","title":"ANALISIS KINERJA KEUANGAN PERUSAHAAN SEKTOR PROPERTI DAN REAL ESTATE SEBELUM DAN SELAMA PANDEMI COVID-19","type":"article-journal","volume":"3"},"uris":["http://www.mendeley.com/documents/?uuid=63352008-8241-449f-b4fa-95f6e7695bf3"]}],"mendeley":{"formattedCitation":"[2]","plainTextFormattedCitation":"[2]","previouslyFormattedCitation":"(Silindung et al.,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2" w:history="1">
        <w:r w:rsidR="007C665C" w:rsidRPr="00A50E7E">
          <w:rPr>
            <w:rStyle w:val="Hyperlink"/>
            <w:bCs/>
            <w:szCs w:val="20"/>
            <w:u w:val="none"/>
            <w:lang w:val="id-ID"/>
          </w:rPr>
          <w:t>2</w:t>
        </w:r>
      </w:hyperlink>
      <w:r w:rsidR="007C665C" w:rsidRPr="00A50E7E">
        <w:rPr>
          <w:bCs/>
          <w:color w:val="000000"/>
          <w:szCs w:val="20"/>
          <w:lang w:val="id-ID"/>
        </w:rPr>
        <w:t>]</w:t>
      </w:r>
      <w:r w:rsidR="003964A3" w:rsidRPr="00A50E7E">
        <w:rPr>
          <w:bCs/>
          <w:color w:val="000000"/>
          <w:szCs w:val="20"/>
          <w:lang w:val="id-ID"/>
        </w:rPr>
        <w:fldChar w:fldCharType="end"/>
      </w:r>
      <w:r w:rsidRPr="00A50E7E">
        <w:rPr>
          <w:bCs/>
          <w:color w:val="000000"/>
          <w:szCs w:val="20"/>
          <w:lang w:val="id-ID"/>
        </w:rPr>
        <w:t xml:space="preserve">. Bagi investor dan analis keuangan, pemahaman mengenai determinan </w:t>
      </w:r>
      <w:proofErr w:type="spellStart"/>
      <w:r w:rsidRPr="00A50E7E">
        <w:rPr>
          <w:bCs/>
          <w:i/>
          <w:color w:val="000000"/>
          <w:szCs w:val="20"/>
          <w:lang w:val="id-ID"/>
        </w:rPr>
        <w:t>tax</w:t>
      </w:r>
      <w:proofErr w:type="spellEnd"/>
      <w:r w:rsidRPr="00A50E7E">
        <w:rPr>
          <w:bCs/>
          <w:i/>
          <w:color w:val="000000"/>
          <w:szCs w:val="20"/>
          <w:lang w:val="id-ID"/>
        </w:rPr>
        <w:t xml:space="preserve"> </w:t>
      </w:r>
      <w:proofErr w:type="spellStart"/>
      <w:r w:rsidRPr="00A50E7E">
        <w:rPr>
          <w:bCs/>
          <w:i/>
          <w:color w:val="000000"/>
          <w:szCs w:val="20"/>
          <w:lang w:val="id-ID"/>
        </w:rPr>
        <w:t>avoidance</w:t>
      </w:r>
      <w:proofErr w:type="spellEnd"/>
      <w:r w:rsidRPr="00A50E7E">
        <w:rPr>
          <w:bCs/>
          <w:i/>
          <w:color w:val="000000"/>
          <w:szCs w:val="20"/>
          <w:lang w:val="id-ID"/>
        </w:rPr>
        <w:t xml:space="preserve"> </w:t>
      </w:r>
      <w:r w:rsidRPr="00A50E7E">
        <w:rPr>
          <w:bCs/>
          <w:color w:val="000000"/>
          <w:szCs w:val="20"/>
          <w:lang w:val="id-ID"/>
        </w:rPr>
        <w:t>dapat menjadi indikator dalam menilai transparansi dan tata kelola perusahaan</w:t>
      </w:r>
      <w:r w:rsidR="003964A3" w:rsidRPr="00A50E7E">
        <w:rPr>
          <w:bCs/>
          <w:color w:val="000000"/>
          <w:szCs w:val="20"/>
          <w:lang w:val="id-ID"/>
        </w:rPr>
        <w:t xml:space="preserve"> </w:t>
      </w:r>
      <w:r w:rsidR="003964A3" w:rsidRPr="00A50E7E">
        <w:rPr>
          <w:bCs/>
          <w:color w:val="000000"/>
          <w:szCs w:val="20"/>
          <w:lang w:val="id-ID"/>
        </w:rPr>
        <w:fldChar w:fldCharType="begin" w:fldLock="1"/>
      </w:r>
      <w:r w:rsidR="007C665C" w:rsidRPr="00A50E7E">
        <w:rPr>
          <w:bCs/>
          <w:color w:val="000000"/>
          <w:szCs w:val="20"/>
          <w:lang w:val="id-ID"/>
        </w:rPr>
        <w:instrText>ADDIN CSL_CITATION {"citationItems":[{"id":"ITEM-1","itemData":{"DOI":"10.25105/jet.v3i1.15437","ISSN":"2339-0840","abstract":"Tujuan dari penelitian ini adalah menganalisis kinerja keuangan perusahaan yang berguna untuk mendukung pengambilan keputusan bagi perusahaan sektor properti dan real estate yang terdaftar di Bursa Efek Indonesia sebelum dan selama pandemi Covid-19. Dalam penelitian ini peneliti menggunakan laporan keuangan berupa neraca dan laba rugi pada perusahaan sektor properti dan real estate yang berturut-turut terdaftar pada Indeks LQ45 Bursa Efek Indonesia sebelum dan selama pandemi Covid-19 yaitu pada PT Pembangunan Perumahan (Persero), Tbk., PT Bumi Serpong Damai, Tbk., PT Alam Sutera Reality, Tbk., PT Lippo Karawaci, Tbk., dan PT Sentul City Tbk. Alat analisis yang digunakan dalam penelitian ini adalah rasio keuangan likuiditas, solvabilitas, dan profitabilitas. Hasil dari analisis yang peneliti lakukan dapat disimpulkan bahwa pandemi Covid-19 berpengaruh terhadap kinerja keuangan perusahaan sektor properti dan real estate jika diukur menggunakan rasio likuiditas, solvabilitas, dan profitabilitas. Berdasarkan rasio likuiditas terdapat penurunan kemampuan perusahaan sektor properti dan real estate dalam memenuhi kewajiban atau membayar utang jangka pendeknya. Berdasarkan rasio solvabilitas terdapat penurunan kemampuan perusahaan sektor properti dan real estate dalam memenuhi kewajiban hutang jangka panjangnya. Berdasarkan rasio profitabilitas terdapat penurunan kemampuan perusahaan sektor properti dan real estate dalam mendapatkan laba dari pendapatan terkait penjualan, aset, dan ekuitas perusahaan berdasarkan dasar pengukuran tertentu. The purpose of this research is to analyze the company's financial performance which is useful for supporting decision-making for property and real estate sector companies listed on the Indonesia Stock Exchange before and during the Covid-19 pandemic. In this research, researchers used financial statements in the form of balance sheets and profit and loss in property and real estate sector companies that were successively listed on the Indonesia Stock Exchange LQ45 Index before and during the Covid-19 pandemic, namely at PT Pembangunan Perumahan (Persero), Tbk., PT Bumi Serpong Damai, Tbk., PT Alam Sutera Reality, Tbk., PT Lippo Karawaci, Tbk., and PT Sentul City Tbk. The analytical tool used in this research is the liquidity, solvency, and profitability ratios. The results of the analysis conducted by researchers can be concluded that the Covid-19 pandemic affects the financial performance of property and real estate sector c…","author":[{"dropping-particle":"","family":"Silindung","given":"Satrio","non-dropping-particle":"","parse-names":false,"suffix":""},{"dropping-particle":"","family":"Budi","given":"Bagus","non-dropping-particle":"","parse-names":false,"suffix":""},{"dropping-particle":"","family":"Yanti","given":"Harti","non-dropping-particle":"","parse-names":false,"suffix":""}],"container-title":"Jurnal Ekonomi Trisakti","id":"ITEM-1","issue":"1","issued":{"date-parts":[["2023","1","16"]]},"page":"329-340","title":"ANALISIS KINERJA KEUANGAN PERUSAHAAN SEKTOR PROPERTI DAN REAL ESTATE SEBELUM DAN SELAMA PANDEMI COVID-19","type":"article-journal","volume":"3"},"uris":["http://www.mendeley.com/documents/?uuid=63352008-8241-449f-b4fa-95f6e7695bf3"]}],"mendeley":{"formattedCitation":"[2]","plainTextFormattedCitation":"[2]","previouslyFormattedCitation":"(Silindung et al., 2023)"},"properties":{"noteIndex":0},"schema":"https://github.com/citation-style-language/schema/raw/master/csl-citation.json"}</w:instrText>
      </w:r>
      <w:r w:rsidR="003964A3" w:rsidRPr="00A50E7E">
        <w:rPr>
          <w:bCs/>
          <w:color w:val="000000"/>
          <w:szCs w:val="20"/>
          <w:lang w:val="id-ID"/>
        </w:rPr>
        <w:fldChar w:fldCharType="separate"/>
      </w:r>
      <w:r w:rsidR="007C665C" w:rsidRPr="00A50E7E">
        <w:rPr>
          <w:bCs/>
          <w:color w:val="000000"/>
          <w:szCs w:val="20"/>
          <w:lang w:val="id-ID"/>
        </w:rPr>
        <w:t>[</w:t>
      </w:r>
      <w:hyperlink w:anchor="a2" w:history="1">
        <w:r w:rsidR="007C665C" w:rsidRPr="00A50E7E">
          <w:rPr>
            <w:rStyle w:val="Hyperlink"/>
            <w:bCs/>
            <w:szCs w:val="20"/>
            <w:u w:val="none"/>
            <w:lang w:val="id-ID"/>
          </w:rPr>
          <w:t>2</w:t>
        </w:r>
      </w:hyperlink>
      <w:r w:rsidR="007C665C" w:rsidRPr="00A50E7E">
        <w:rPr>
          <w:bCs/>
          <w:color w:val="000000"/>
          <w:szCs w:val="20"/>
          <w:lang w:val="id-ID"/>
        </w:rPr>
        <w:t>]</w:t>
      </w:r>
      <w:r w:rsidR="003964A3" w:rsidRPr="00A50E7E">
        <w:rPr>
          <w:bCs/>
          <w:color w:val="000000"/>
          <w:szCs w:val="20"/>
          <w:lang w:val="id-ID"/>
        </w:rPr>
        <w:fldChar w:fldCharType="end"/>
      </w:r>
      <w:r w:rsidR="003964A3" w:rsidRPr="00A50E7E">
        <w:rPr>
          <w:bCs/>
          <w:color w:val="000000"/>
          <w:szCs w:val="20"/>
          <w:lang w:val="id-ID"/>
        </w:rPr>
        <w:t>.</w:t>
      </w:r>
    </w:p>
    <w:p w14:paraId="28E277F5" w14:textId="77777777" w:rsidR="00E634F5" w:rsidRPr="00A50E7E" w:rsidRDefault="00E634F5" w:rsidP="00286CFF">
      <w:pPr>
        <w:spacing w:before="120" w:after="120"/>
        <w:rPr>
          <w:bCs/>
          <w:color w:val="000000"/>
          <w:szCs w:val="20"/>
          <w:lang w:val="id-ID"/>
        </w:rPr>
      </w:pPr>
      <w:r w:rsidRPr="00A50E7E">
        <w:rPr>
          <w:bCs/>
          <w:color w:val="000000"/>
          <w:szCs w:val="20"/>
          <w:lang w:val="id-ID"/>
        </w:rPr>
        <w:t xml:space="preserve">Berdasarkan latar belakang tersebut, </w:t>
      </w:r>
      <w:r w:rsidR="001C284F" w:rsidRPr="00A50E7E">
        <w:rPr>
          <w:bCs/>
          <w:color w:val="000000"/>
          <w:szCs w:val="20"/>
          <w:lang w:val="id-ID"/>
        </w:rPr>
        <w:t>penelitian ini secara khusus mengkaji pengaruh struktur modal, profitabilitas, dan ukuran perusahaan terhadap praktik penghindaran pajak pada perusahaan properti dan real estat yang terdaftar di Bursa Efek Indonesia periode 2018-2022. Dari perspektif akademis, temuan penelitian diharapkan dapat memberikan kontribusi signifikan terhadap pengembangan literatur di bidang keuangan korporat dan perpajakan, khususnya mengenai faktor-faktor yang memengaruhi perilaku penghindaran pajak. Secara praktis, hasil penelitian ini diharapkan dapat menjadi pertimbangan bagi manajemen perusahaan dalam menyusun strategi perpajakan yang optimal namun tetap sesuai dengan prinsip kepatuhan. Lebih jauh, dari aspek sosial, penelitian ini bertujuan untuk mendorong terciptanya praktik perpajakan yang sehat dan transparan, yang pada akhirnya dapat berkontribusi terhadap optimalisasi penerimaan negara serta pembangunan nasional yang berkelanjutan</w:t>
      </w:r>
      <w:r w:rsidRPr="00A50E7E">
        <w:rPr>
          <w:bCs/>
          <w:color w:val="000000"/>
          <w:szCs w:val="20"/>
          <w:lang w:val="id-ID"/>
        </w:rPr>
        <w:t>.</w:t>
      </w:r>
    </w:p>
    <w:p w14:paraId="1320BC7C" w14:textId="77777777" w:rsidR="00272545" w:rsidRPr="00A50E7E" w:rsidRDefault="00272545" w:rsidP="00286CFF">
      <w:pPr>
        <w:pStyle w:val="Heading1"/>
        <w:numPr>
          <w:ilvl w:val="0"/>
          <w:numId w:val="1"/>
        </w:numPr>
        <w:spacing w:before="120"/>
        <w:ind w:left="284" w:hanging="284"/>
        <w:rPr>
          <w:lang w:val="id-ID"/>
        </w:rPr>
      </w:pPr>
      <w:r w:rsidRPr="00A50E7E">
        <w:rPr>
          <w:lang w:val="id-ID"/>
        </w:rPr>
        <w:t>Metode Penelitian</w:t>
      </w:r>
    </w:p>
    <w:p w14:paraId="69EBA9A6" w14:textId="77777777" w:rsidR="00E634F5" w:rsidRPr="00A50E7E" w:rsidRDefault="00E634F5" w:rsidP="00286CFF">
      <w:pPr>
        <w:spacing w:before="120" w:after="120"/>
        <w:rPr>
          <w:color w:val="000000"/>
          <w:lang w:val="id-ID"/>
        </w:rPr>
      </w:pPr>
      <w:r w:rsidRPr="00A50E7E">
        <w:rPr>
          <w:color w:val="000000"/>
          <w:lang w:val="id-ID"/>
        </w:rPr>
        <w:t xml:space="preserve">Penelitian ini merupakan penelitian deskriptif kuantitatif yang bertujuan untuk menganalisis pengaruh struktur modal, profitabilitas, dan ukuran perusahaan terhadap </w:t>
      </w:r>
      <w:proofErr w:type="spellStart"/>
      <w:r w:rsidRPr="00A50E7E">
        <w:rPr>
          <w:i/>
          <w:iCs/>
          <w:color w:val="000000"/>
          <w:lang w:val="id-ID"/>
        </w:rPr>
        <w:t>tax</w:t>
      </w:r>
      <w:proofErr w:type="spellEnd"/>
      <w:r w:rsidRPr="00A50E7E">
        <w:rPr>
          <w:i/>
          <w:iCs/>
          <w:color w:val="000000"/>
          <w:lang w:val="id-ID"/>
        </w:rPr>
        <w:t xml:space="preserve"> </w:t>
      </w:r>
      <w:proofErr w:type="spellStart"/>
      <w:r w:rsidRPr="00A50E7E">
        <w:rPr>
          <w:i/>
          <w:iCs/>
          <w:color w:val="000000"/>
          <w:lang w:val="id-ID"/>
        </w:rPr>
        <w:t>avoidance</w:t>
      </w:r>
      <w:proofErr w:type="spellEnd"/>
      <w:r w:rsidRPr="00A50E7E">
        <w:rPr>
          <w:color w:val="000000"/>
          <w:lang w:val="id-ID"/>
        </w:rPr>
        <w:t xml:space="preserve"> pada perusahaan subsektor properti dan </w:t>
      </w:r>
      <w:r w:rsidRPr="00A50E7E">
        <w:rPr>
          <w:i/>
          <w:iCs/>
          <w:color w:val="000000"/>
          <w:lang w:val="id-ID"/>
        </w:rPr>
        <w:t xml:space="preserve">real </w:t>
      </w:r>
      <w:proofErr w:type="spellStart"/>
      <w:r w:rsidRPr="00A50E7E">
        <w:rPr>
          <w:i/>
          <w:iCs/>
          <w:color w:val="000000"/>
          <w:lang w:val="id-ID"/>
        </w:rPr>
        <w:t>estate</w:t>
      </w:r>
      <w:proofErr w:type="spellEnd"/>
      <w:r w:rsidRPr="00A50E7E">
        <w:rPr>
          <w:color w:val="000000"/>
          <w:lang w:val="id-ID"/>
        </w:rPr>
        <w:t xml:space="preserve"> yang terdaftar di Bursa Efek Indonesia (BEI) selama periode 2018–2024. Pendekatan yang digunakan adalah pendekatan kuantitatif dengan memanfaatkan data sekunder yang diperoleh dari laporan keuangan tahunan perusahaan yang tersedia di situs resmi BEI. Penelitian ini menggunakan data panel (</w:t>
      </w:r>
      <w:proofErr w:type="spellStart"/>
      <w:r w:rsidRPr="00A50E7E">
        <w:rPr>
          <w:i/>
          <w:color w:val="000000"/>
          <w:lang w:val="id-ID"/>
        </w:rPr>
        <w:t>pooled</w:t>
      </w:r>
      <w:proofErr w:type="spellEnd"/>
      <w:r w:rsidRPr="00A50E7E">
        <w:rPr>
          <w:i/>
          <w:color w:val="000000"/>
          <w:lang w:val="id-ID"/>
        </w:rPr>
        <w:t xml:space="preserve"> data</w:t>
      </w:r>
      <w:r w:rsidRPr="00A50E7E">
        <w:rPr>
          <w:color w:val="000000"/>
          <w:lang w:val="id-ID"/>
        </w:rPr>
        <w:t xml:space="preserve">), yaitu gabungan antara data </w:t>
      </w:r>
      <w:proofErr w:type="spellStart"/>
      <w:r w:rsidRPr="00A50E7E">
        <w:rPr>
          <w:i/>
          <w:color w:val="000000"/>
          <w:lang w:val="id-ID"/>
        </w:rPr>
        <w:t>time</w:t>
      </w:r>
      <w:proofErr w:type="spellEnd"/>
      <w:r w:rsidRPr="00A50E7E">
        <w:rPr>
          <w:i/>
          <w:color w:val="000000"/>
          <w:lang w:val="id-ID"/>
        </w:rPr>
        <w:t xml:space="preserve"> </w:t>
      </w:r>
      <w:proofErr w:type="spellStart"/>
      <w:r w:rsidRPr="00A50E7E">
        <w:rPr>
          <w:i/>
          <w:color w:val="000000"/>
          <w:lang w:val="id-ID"/>
        </w:rPr>
        <w:t>series</w:t>
      </w:r>
      <w:proofErr w:type="spellEnd"/>
      <w:r w:rsidRPr="00A50E7E">
        <w:rPr>
          <w:i/>
          <w:color w:val="000000"/>
          <w:lang w:val="id-ID"/>
        </w:rPr>
        <w:t xml:space="preserve"> </w:t>
      </w:r>
      <w:r w:rsidRPr="00A50E7E">
        <w:rPr>
          <w:color w:val="000000"/>
          <w:lang w:val="id-ID"/>
        </w:rPr>
        <w:t xml:space="preserve">dan </w:t>
      </w:r>
      <w:proofErr w:type="spellStart"/>
      <w:r w:rsidRPr="00A50E7E">
        <w:rPr>
          <w:i/>
          <w:color w:val="000000"/>
          <w:lang w:val="id-ID"/>
        </w:rPr>
        <w:t>cross</w:t>
      </w:r>
      <w:proofErr w:type="spellEnd"/>
      <w:r w:rsidRPr="00A50E7E">
        <w:rPr>
          <w:i/>
          <w:color w:val="000000"/>
          <w:lang w:val="id-ID"/>
        </w:rPr>
        <w:t xml:space="preserve"> </w:t>
      </w:r>
      <w:proofErr w:type="spellStart"/>
      <w:r w:rsidRPr="00A50E7E">
        <w:rPr>
          <w:i/>
          <w:color w:val="000000"/>
          <w:lang w:val="id-ID"/>
        </w:rPr>
        <w:t>section</w:t>
      </w:r>
      <w:proofErr w:type="spellEnd"/>
      <w:r w:rsidRPr="00A50E7E">
        <w:rPr>
          <w:i/>
          <w:color w:val="000000"/>
          <w:lang w:val="id-ID"/>
        </w:rPr>
        <w:t xml:space="preserve"> </w:t>
      </w:r>
      <w:r w:rsidRPr="00A50E7E">
        <w:rPr>
          <w:color w:val="000000"/>
          <w:lang w:val="id-ID"/>
        </w:rPr>
        <w:t>dari beberapa perusahaan dalam kurun waktu lima tahun. Jenis data yang digunakan adalah data sekunder yang mencakup rasio keuangan sebagai indikator dari variabel struktur modal (</w:t>
      </w:r>
      <w:proofErr w:type="spellStart"/>
      <w:r w:rsidRPr="00A50E7E">
        <w:rPr>
          <w:i/>
          <w:color w:val="000000"/>
          <w:lang w:val="id-ID"/>
        </w:rPr>
        <w:t>debt</w:t>
      </w:r>
      <w:proofErr w:type="spellEnd"/>
      <w:r w:rsidRPr="00A50E7E">
        <w:rPr>
          <w:i/>
          <w:color w:val="000000"/>
          <w:lang w:val="id-ID"/>
        </w:rPr>
        <w:t xml:space="preserve"> </w:t>
      </w:r>
      <w:proofErr w:type="spellStart"/>
      <w:r w:rsidRPr="00A50E7E">
        <w:rPr>
          <w:i/>
          <w:color w:val="000000"/>
          <w:lang w:val="id-ID"/>
        </w:rPr>
        <w:t>to</w:t>
      </w:r>
      <w:proofErr w:type="spellEnd"/>
      <w:r w:rsidRPr="00A50E7E">
        <w:rPr>
          <w:i/>
          <w:color w:val="000000"/>
          <w:lang w:val="id-ID"/>
        </w:rPr>
        <w:t xml:space="preserve"> </w:t>
      </w:r>
      <w:proofErr w:type="spellStart"/>
      <w:r w:rsidRPr="00A50E7E">
        <w:rPr>
          <w:i/>
          <w:color w:val="000000"/>
          <w:lang w:val="id-ID"/>
        </w:rPr>
        <w:t>asset</w:t>
      </w:r>
      <w:proofErr w:type="spellEnd"/>
      <w:r w:rsidRPr="00A50E7E">
        <w:rPr>
          <w:i/>
          <w:color w:val="000000"/>
          <w:lang w:val="id-ID"/>
        </w:rPr>
        <w:t xml:space="preserve"> </w:t>
      </w:r>
      <w:proofErr w:type="spellStart"/>
      <w:r w:rsidRPr="00A50E7E">
        <w:rPr>
          <w:i/>
          <w:color w:val="000000"/>
          <w:lang w:val="id-ID"/>
        </w:rPr>
        <w:t>ratio</w:t>
      </w:r>
      <w:proofErr w:type="spellEnd"/>
      <w:r w:rsidRPr="00A50E7E">
        <w:rPr>
          <w:color w:val="000000"/>
          <w:lang w:val="id-ID"/>
        </w:rPr>
        <w:t xml:space="preserve">), </w:t>
      </w:r>
      <w:r w:rsidRPr="00A50E7E">
        <w:rPr>
          <w:color w:val="000000"/>
          <w:lang w:val="id-ID"/>
        </w:rPr>
        <w:t>profitabilitas (</w:t>
      </w:r>
      <w:proofErr w:type="spellStart"/>
      <w:r w:rsidRPr="00A50E7E">
        <w:rPr>
          <w:i/>
          <w:color w:val="000000"/>
          <w:lang w:val="id-ID"/>
        </w:rPr>
        <w:t>return</w:t>
      </w:r>
      <w:proofErr w:type="spellEnd"/>
      <w:r w:rsidRPr="00A50E7E">
        <w:rPr>
          <w:i/>
          <w:color w:val="000000"/>
          <w:lang w:val="id-ID"/>
        </w:rPr>
        <w:t xml:space="preserve"> </w:t>
      </w:r>
      <w:proofErr w:type="spellStart"/>
      <w:r w:rsidRPr="00A50E7E">
        <w:rPr>
          <w:i/>
          <w:color w:val="000000"/>
          <w:lang w:val="id-ID"/>
        </w:rPr>
        <w:t>on</w:t>
      </w:r>
      <w:proofErr w:type="spellEnd"/>
      <w:r w:rsidRPr="00A50E7E">
        <w:rPr>
          <w:i/>
          <w:color w:val="000000"/>
          <w:lang w:val="id-ID"/>
        </w:rPr>
        <w:t xml:space="preserve"> </w:t>
      </w:r>
      <w:proofErr w:type="spellStart"/>
      <w:r w:rsidRPr="00A50E7E">
        <w:rPr>
          <w:i/>
          <w:color w:val="000000"/>
          <w:lang w:val="id-ID"/>
        </w:rPr>
        <w:t>assets</w:t>
      </w:r>
      <w:proofErr w:type="spellEnd"/>
      <w:r w:rsidRPr="00A50E7E">
        <w:rPr>
          <w:color w:val="000000"/>
          <w:lang w:val="id-ID"/>
        </w:rPr>
        <w:t>), ukuran perusahaan (</w:t>
      </w:r>
      <w:r w:rsidRPr="00A50E7E">
        <w:rPr>
          <w:i/>
          <w:color w:val="000000"/>
          <w:lang w:val="id-ID"/>
        </w:rPr>
        <w:t>log total aset</w:t>
      </w:r>
      <w:r w:rsidRPr="00A50E7E">
        <w:rPr>
          <w:color w:val="000000"/>
          <w:lang w:val="id-ID"/>
        </w:rPr>
        <w:t xml:space="preserve">), dan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w:t>
      </w:r>
      <w:proofErr w:type="spellStart"/>
      <w:r w:rsidRPr="00A50E7E">
        <w:rPr>
          <w:i/>
          <w:color w:val="000000"/>
          <w:lang w:val="id-ID"/>
        </w:rPr>
        <w:t>effective</w:t>
      </w:r>
      <w:proofErr w:type="spellEnd"/>
      <w:r w:rsidRPr="00A50E7E">
        <w:rPr>
          <w:i/>
          <w:color w:val="000000"/>
          <w:lang w:val="id-ID"/>
        </w:rPr>
        <w:t xml:space="preserve">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rate</w:t>
      </w:r>
      <w:proofErr w:type="spellEnd"/>
      <w:r w:rsidRPr="00A50E7E">
        <w:rPr>
          <w:color w:val="000000"/>
          <w:lang w:val="id-ID"/>
        </w:rPr>
        <w:t>). Data dikumpulkan melalui teknik dokumentasi dan dianalisis secara statistik dengan bantuan perangkat lunak E-</w:t>
      </w:r>
      <w:proofErr w:type="spellStart"/>
      <w:r w:rsidRPr="00A50E7E">
        <w:rPr>
          <w:color w:val="000000"/>
          <w:lang w:val="id-ID"/>
        </w:rPr>
        <w:t>Views</w:t>
      </w:r>
      <w:proofErr w:type="spellEnd"/>
      <w:r w:rsidRPr="00A50E7E">
        <w:rPr>
          <w:color w:val="000000"/>
          <w:lang w:val="id-ID"/>
        </w:rPr>
        <w:t xml:space="preserve"> versi 10.0.</w:t>
      </w:r>
    </w:p>
    <w:p w14:paraId="10D845E3" w14:textId="25C9E7D3" w:rsidR="00E634F5" w:rsidRPr="00A50E7E" w:rsidRDefault="00E634F5" w:rsidP="00286CFF">
      <w:pPr>
        <w:spacing w:before="120" w:after="120"/>
        <w:rPr>
          <w:color w:val="000000"/>
          <w:lang w:val="id-ID"/>
        </w:rPr>
      </w:pPr>
      <w:r w:rsidRPr="00A50E7E">
        <w:rPr>
          <w:color w:val="000000"/>
          <w:lang w:val="id-ID"/>
        </w:rPr>
        <w:t xml:space="preserve">Tahapan analisis dimulai dengan pemilihan model regresi data panel terbaik melalui </w:t>
      </w:r>
      <w:proofErr w:type="spellStart"/>
      <w:r w:rsidR="00A159FB" w:rsidRPr="00A50E7E">
        <w:rPr>
          <w:i/>
          <w:color w:val="000000"/>
          <w:lang w:val="id-ID"/>
        </w:rPr>
        <w:t>chow</w:t>
      </w:r>
      <w:proofErr w:type="spellEnd"/>
      <w:r w:rsidR="00A159FB" w:rsidRPr="00A50E7E">
        <w:rPr>
          <w:i/>
          <w:color w:val="000000"/>
          <w:lang w:val="id-ID"/>
        </w:rPr>
        <w:t xml:space="preserve"> </w:t>
      </w:r>
      <w:proofErr w:type="spellStart"/>
      <w:r w:rsidR="00A159FB" w:rsidRPr="00A50E7E">
        <w:rPr>
          <w:i/>
          <w:color w:val="000000"/>
          <w:lang w:val="id-ID"/>
        </w:rPr>
        <w:t>test</w:t>
      </w:r>
      <w:proofErr w:type="spellEnd"/>
      <w:r w:rsidRPr="00A50E7E">
        <w:rPr>
          <w:color w:val="000000"/>
          <w:lang w:val="id-ID"/>
        </w:rPr>
        <w:t xml:space="preserve">, </w:t>
      </w:r>
      <w:proofErr w:type="spellStart"/>
      <w:r w:rsidR="00A159FB" w:rsidRPr="00A50E7E">
        <w:rPr>
          <w:i/>
          <w:color w:val="000000"/>
          <w:lang w:val="id-ID"/>
        </w:rPr>
        <w:t>hausman</w:t>
      </w:r>
      <w:proofErr w:type="spellEnd"/>
      <w:r w:rsidR="00A159FB" w:rsidRPr="00A50E7E">
        <w:rPr>
          <w:i/>
          <w:color w:val="000000"/>
          <w:lang w:val="id-ID"/>
        </w:rPr>
        <w:t xml:space="preserve"> </w:t>
      </w:r>
      <w:proofErr w:type="spellStart"/>
      <w:r w:rsidR="00A159FB" w:rsidRPr="00A50E7E">
        <w:rPr>
          <w:i/>
          <w:color w:val="000000"/>
          <w:lang w:val="id-ID"/>
        </w:rPr>
        <w:t>test</w:t>
      </w:r>
      <w:proofErr w:type="spellEnd"/>
      <w:r w:rsidRPr="00A50E7E">
        <w:rPr>
          <w:color w:val="000000"/>
          <w:lang w:val="id-ID"/>
        </w:rPr>
        <w:t xml:space="preserve">, dan </w:t>
      </w:r>
      <w:proofErr w:type="spellStart"/>
      <w:r w:rsidR="00A159FB" w:rsidRPr="00A50E7E">
        <w:rPr>
          <w:i/>
          <w:color w:val="000000"/>
          <w:lang w:val="id-ID"/>
        </w:rPr>
        <w:t>lagrange</w:t>
      </w:r>
      <w:proofErr w:type="spellEnd"/>
      <w:r w:rsidR="00A159FB" w:rsidRPr="00A50E7E">
        <w:rPr>
          <w:i/>
          <w:color w:val="000000"/>
          <w:lang w:val="id-ID"/>
        </w:rPr>
        <w:t xml:space="preserve"> </w:t>
      </w:r>
      <w:proofErr w:type="spellStart"/>
      <w:r w:rsidR="00A159FB" w:rsidRPr="00A50E7E">
        <w:rPr>
          <w:i/>
          <w:color w:val="000000"/>
          <w:lang w:val="id-ID"/>
        </w:rPr>
        <w:t>multiplier</w:t>
      </w:r>
      <w:proofErr w:type="spellEnd"/>
      <w:r w:rsidR="00A159FB" w:rsidRPr="00A50E7E">
        <w:rPr>
          <w:i/>
          <w:color w:val="000000"/>
          <w:lang w:val="id-ID"/>
        </w:rPr>
        <w:t xml:space="preserve"> </w:t>
      </w:r>
      <w:proofErr w:type="spellStart"/>
      <w:r w:rsidR="00A159FB" w:rsidRPr="00A50E7E">
        <w:rPr>
          <w:i/>
          <w:color w:val="000000"/>
          <w:lang w:val="id-ID"/>
        </w:rPr>
        <w:t>test</w:t>
      </w:r>
      <w:proofErr w:type="spellEnd"/>
      <w:r w:rsidR="00A159FB" w:rsidRPr="00A50E7E">
        <w:rPr>
          <w:color w:val="000000"/>
          <w:lang w:val="id-ID"/>
        </w:rPr>
        <w:t xml:space="preserve"> </w:t>
      </w:r>
      <w:r w:rsidRPr="00A50E7E">
        <w:rPr>
          <w:color w:val="000000"/>
          <w:lang w:val="id-ID"/>
        </w:rPr>
        <w:t xml:space="preserve">(LM). Setelah model terbaik ditentukan, pengujian hipotesis dilakukan dengan uji t (uji parsial) untuk melihat pengaruh masing-masing variabel independen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 uji F (uji simultan) untuk menguji pengaruh secara bersama-sama, serta uji koefisien determinasi (R²) untuk mengetahui besarnya kontribusi variabel independen terhadap variasi variabel dependen. Pengambilan keputusan dilakukan berdasarkan nilai probabilitas (</w:t>
      </w:r>
      <w:r w:rsidRPr="00A50E7E">
        <w:rPr>
          <w:i/>
          <w:color w:val="000000"/>
          <w:lang w:val="id-ID"/>
        </w:rPr>
        <w:t>p-</w:t>
      </w:r>
      <w:proofErr w:type="spellStart"/>
      <w:r w:rsidRPr="00A50E7E">
        <w:rPr>
          <w:i/>
          <w:color w:val="000000"/>
          <w:lang w:val="id-ID"/>
        </w:rPr>
        <w:t>value</w:t>
      </w:r>
      <w:proofErr w:type="spellEnd"/>
      <w:r w:rsidRPr="00A50E7E">
        <w:rPr>
          <w:color w:val="000000"/>
          <w:lang w:val="id-ID"/>
        </w:rPr>
        <w:t>) dengan tingkat signifikansi 5% (α = 0,05).</w:t>
      </w:r>
    </w:p>
    <w:p w14:paraId="53FDBD40" w14:textId="77777777" w:rsidR="00272545" w:rsidRPr="00A50E7E" w:rsidRDefault="00272545" w:rsidP="00286CFF">
      <w:pPr>
        <w:pStyle w:val="Heading1"/>
        <w:numPr>
          <w:ilvl w:val="0"/>
          <w:numId w:val="1"/>
        </w:numPr>
        <w:spacing w:before="120"/>
        <w:ind w:left="270" w:hanging="270"/>
        <w:rPr>
          <w:lang w:val="id-ID"/>
        </w:rPr>
      </w:pPr>
      <w:r w:rsidRPr="00A50E7E">
        <w:rPr>
          <w:lang w:val="id-ID"/>
        </w:rPr>
        <w:t>Hasil dan Pembahasan</w:t>
      </w:r>
    </w:p>
    <w:p w14:paraId="48522B66" w14:textId="633AC92F" w:rsidR="00E634F5" w:rsidRPr="00A50E7E" w:rsidRDefault="00E634F5" w:rsidP="00286CFF">
      <w:pPr>
        <w:spacing w:before="120" w:after="120"/>
        <w:rPr>
          <w:color w:val="000000"/>
        </w:rPr>
      </w:pPr>
      <w:r w:rsidRPr="00A50E7E">
        <w:rPr>
          <w:color w:val="000000"/>
          <w:lang w:val="id-ID"/>
        </w:rPr>
        <w:t xml:space="preserve">Penelitian ini menggunakan data panel yang merupakan gabungan dari data </w:t>
      </w:r>
      <w:proofErr w:type="spellStart"/>
      <w:r w:rsidRPr="00A50E7E">
        <w:rPr>
          <w:i/>
          <w:color w:val="000000"/>
          <w:lang w:val="id-ID"/>
        </w:rPr>
        <w:t>time</w:t>
      </w:r>
      <w:proofErr w:type="spellEnd"/>
      <w:r w:rsidRPr="00A50E7E">
        <w:rPr>
          <w:i/>
          <w:color w:val="000000"/>
          <w:lang w:val="id-ID"/>
        </w:rPr>
        <w:t xml:space="preserve"> </w:t>
      </w:r>
      <w:proofErr w:type="spellStart"/>
      <w:r w:rsidRPr="00A50E7E">
        <w:rPr>
          <w:i/>
          <w:color w:val="000000"/>
          <w:lang w:val="id-ID"/>
        </w:rPr>
        <w:t>series</w:t>
      </w:r>
      <w:proofErr w:type="spellEnd"/>
      <w:r w:rsidRPr="00A50E7E">
        <w:rPr>
          <w:i/>
          <w:color w:val="000000"/>
          <w:lang w:val="id-ID"/>
        </w:rPr>
        <w:t xml:space="preserve"> </w:t>
      </w:r>
      <w:r w:rsidRPr="00A50E7E">
        <w:rPr>
          <w:color w:val="000000"/>
          <w:lang w:val="id-ID"/>
        </w:rPr>
        <w:t xml:space="preserve">dan data </w:t>
      </w:r>
      <w:proofErr w:type="spellStart"/>
      <w:r w:rsidRPr="00A50E7E">
        <w:rPr>
          <w:i/>
          <w:color w:val="000000"/>
          <w:lang w:val="id-ID"/>
        </w:rPr>
        <w:t>cross</w:t>
      </w:r>
      <w:proofErr w:type="spellEnd"/>
      <w:r w:rsidRPr="00A50E7E">
        <w:rPr>
          <w:i/>
          <w:color w:val="000000"/>
          <w:lang w:val="id-ID"/>
        </w:rPr>
        <w:t xml:space="preserve"> </w:t>
      </w:r>
      <w:proofErr w:type="spellStart"/>
      <w:r w:rsidRPr="00A50E7E">
        <w:rPr>
          <w:i/>
          <w:color w:val="000000"/>
          <w:lang w:val="id-ID"/>
        </w:rPr>
        <w:t>section</w:t>
      </w:r>
      <w:proofErr w:type="spellEnd"/>
      <w:r w:rsidRPr="00A50E7E">
        <w:rPr>
          <w:color w:val="000000"/>
          <w:lang w:val="id-ID"/>
        </w:rPr>
        <w:t xml:space="preserve">. Teknik analisis yang digunakan dalam penelitian ini ialah analisis regresi </w:t>
      </w:r>
      <w:r w:rsidR="00A159FB" w:rsidRPr="00A50E7E">
        <w:rPr>
          <w:color w:val="000000"/>
          <w:lang w:val="id-ID"/>
        </w:rPr>
        <w:t>linear</w:t>
      </w:r>
      <w:r w:rsidRPr="00A50E7E">
        <w:rPr>
          <w:color w:val="000000"/>
          <w:lang w:val="id-ID"/>
        </w:rPr>
        <w:t xml:space="preserve"> berganda dengan menggunakan program </w:t>
      </w:r>
      <w:r w:rsidR="00A159FB" w:rsidRPr="00A50E7E">
        <w:rPr>
          <w:iCs/>
          <w:color w:val="000000"/>
          <w:lang w:val="id-ID"/>
        </w:rPr>
        <w:t>perangkat lunak</w:t>
      </w:r>
      <w:r w:rsidR="00A159FB" w:rsidRPr="00A50E7E">
        <w:rPr>
          <w:i/>
          <w:color w:val="000000"/>
          <w:lang w:val="id-ID"/>
        </w:rPr>
        <w:t xml:space="preserve"> </w:t>
      </w:r>
      <w:r w:rsidR="00A159FB" w:rsidRPr="00A50E7E">
        <w:rPr>
          <w:color w:val="000000"/>
          <w:lang w:val="id-ID"/>
        </w:rPr>
        <w:t>E-</w:t>
      </w:r>
      <w:proofErr w:type="spellStart"/>
      <w:r w:rsidR="00A159FB" w:rsidRPr="00A50E7E">
        <w:rPr>
          <w:color w:val="000000"/>
          <w:lang w:val="id-ID"/>
        </w:rPr>
        <w:t>Views</w:t>
      </w:r>
      <w:proofErr w:type="spellEnd"/>
      <w:r w:rsidR="00A159FB" w:rsidRPr="00A50E7E">
        <w:rPr>
          <w:color w:val="000000"/>
          <w:lang w:val="id-ID"/>
        </w:rPr>
        <w:t xml:space="preserve"> </w:t>
      </w:r>
      <w:r w:rsidRPr="00A50E7E">
        <w:rPr>
          <w:iCs/>
          <w:color w:val="000000"/>
          <w:lang w:val="id-ID"/>
        </w:rPr>
        <w:t>versi 10.0</w:t>
      </w:r>
      <w:r w:rsidRPr="00A50E7E">
        <w:rPr>
          <w:color w:val="000000"/>
          <w:lang w:val="id-ID"/>
        </w:rPr>
        <w:t xml:space="preserve">. Sebelum melakukan analisis data langkah pertama ialah melakukan pemilihan model. Terdapat estimasi tiga pendekatan dalam pemilihan model yaitu </w:t>
      </w:r>
      <w:proofErr w:type="spellStart"/>
      <w:r w:rsidRPr="00A50E7E">
        <w:rPr>
          <w:i/>
          <w:color w:val="000000"/>
          <w:lang w:val="id-ID"/>
        </w:rPr>
        <w:t>common</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model </w:t>
      </w:r>
      <w:r w:rsidRPr="00A50E7E">
        <w:rPr>
          <w:color w:val="000000"/>
          <w:lang w:val="id-ID"/>
        </w:rPr>
        <w:t>(CEM)</w:t>
      </w:r>
      <w:r w:rsidRPr="00A50E7E">
        <w:rPr>
          <w:i/>
          <w:color w:val="000000"/>
          <w:lang w:val="id-ID"/>
        </w:rPr>
        <w:t xml:space="preserve">, </w:t>
      </w:r>
      <w:proofErr w:type="spellStart"/>
      <w:r w:rsidRPr="00A50E7E">
        <w:rPr>
          <w:i/>
          <w:color w:val="000000"/>
          <w:lang w:val="id-ID"/>
        </w:rPr>
        <w:t>fixed</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model </w:t>
      </w:r>
      <w:r w:rsidRPr="00A50E7E">
        <w:rPr>
          <w:color w:val="000000"/>
          <w:lang w:val="id-ID"/>
        </w:rPr>
        <w:t xml:space="preserve">(FEM) dan </w:t>
      </w:r>
      <w:proofErr w:type="spellStart"/>
      <w:r w:rsidRPr="00A50E7E">
        <w:rPr>
          <w:i/>
          <w:color w:val="000000"/>
          <w:lang w:val="id-ID"/>
        </w:rPr>
        <w:t>random</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model </w:t>
      </w:r>
      <w:r w:rsidRPr="00A50E7E">
        <w:rPr>
          <w:color w:val="000000"/>
          <w:lang w:val="id-ID"/>
        </w:rPr>
        <w:t>(REM)</w:t>
      </w:r>
      <w:r w:rsidRPr="00A50E7E">
        <w:rPr>
          <w:i/>
          <w:color w:val="000000"/>
          <w:lang w:val="id-ID"/>
        </w:rPr>
        <w:t xml:space="preserve">. </w:t>
      </w:r>
      <w:r w:rsidRPr="00A50E7E">
        <w:rPr>
          <w:color w:val="000000"/>
          <w:lang w:val="id-ID"/>
        </w:rPr>
        <w:t xml:space="preserve">Langkah selanjutnya adalah melakukan pemilihan model terbaik untuk menghasilkan analisis yang baik dengan menggunakan </w:t>
      </w:r>
      <w:proofErr w:type="spellStart"/>
      <w:r w:rsidRPr="00A50E7E">
        <w:rPr>
          <w:i/>
          <w:color w:val="000000"/>
          <w:lang w:val="id-ID"/>
        </w:rPr>
        <w:t>chow</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 xml:space="preserve">(CEM vs FEM), </w:t>
      </w:r>
      <w:proofErr w:type="spellStart"/>
      <w:r w:rsidRPr="00A50E7E">
        <w:rPr>
          <w:i/>
          <w:color w:val="000000"/>
          <w:lang w:val="id-ID"/>
        </w:rPr>
        <w:t>hausman</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 xml:space="preserve">(REM vs FEM) dan </w:t>
      </w:r>
      <w:proofErr w:type="spellStart"/>
      <w:r w:rsidRPr="00A50E7E">
        <w:rPr>
          <w:i/>
          <w:color w:val="000000"/>
          <w:lang w:val="id-ID"/>
        </w:rPr>
        <w:t>lagrange</w:t>
      </w:r>
      <w:proofErr w:type="spellEnd"/>
      <w:r w:rsidRPr="00A50E7E">
        <w:rPr>
          <w:i/>
          <w:color w:val="000000"/>
          <w:lang w:val="id-ID"/>
        </w:rPr>
        <w:t xml:space="preserve"> </w:t>
      </w:r>
      <w:proofErr w:type="spellStart"/>
      <w:r w:rsidRPr="00A50E7E">
        <w:rPr>
          <w:i/>
          <w:color w:val="000000"/>
          <w:lang w:val="id-ID"/>
        </w:rPr>
        <w:t>multiplier</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(CEM vs REM). Berikut hasil model data panel dalam penelitian ini</w:t>
      </w:r>
      <w:r w:rsidR="00A159FB" w:rsidRPr="00A50E7E">
        <w:rPr>
          <w:color w:val="000000"/>
        </w:rPr>
        <w:t xml:space="preserve"> yang </w:t>
      </w:r>
      <w:proofErr w:type="spellStart"/>
      <w:r w:rsidR="00A159FB" w:rsidRPr="00A50E7E">
        <w:rPr>
          <w:color w:val="000000"/>
        </w:rPr>
        <w:t>dapat</w:t>
      </w:r>
      <w:proofErr w:type="spellEnd"/>
      <w:r w:rsidR="00A159FB" w:rsidRPr="00A50E7E">
        <w:rPr>
          <w:color w:val="000000"/>
        </w:rPr>
        <w:t xml:space="preserve"> </w:t>
      </w:r>
      <w:proofErr w:type="spellStart"/>
      <w:r w:rsidR="00A159FB" w:rsidRPr="00A50E7E">
        <w:rPr>
          <w:color w:val="000000"/>
        </w:rPr>
        <w:t>dilihat</w:t>
      </w:r>
      <w:proofErr w:type="spellEnd"/>
      <w:r w:rsidR="00A159FB" w:rsidRPr="00A50E7E">
        <w:rPr>
          <w:color w:val="000000"/>
        </w:rPr>
        <w:t xml:space="preserve"> pada </w:t>
      </w:r>
      <w:proofErr w:type="spellStart"/>
      <w:r w:rsidR="00A159FB" w:rsidRPr="00A50E7E">
        <w:rPr>
          <w:color w:val="000000"/>
        </w:rPr>
        <w:t>Tabel</w:t>
      </w:r>
      <w:proofErr w:type="spellEnd"/>
      <w:r w:rsidR="00A159FB" w:rsidRPr="00A50E7E">
        <w:rPr>
          <w:color w:val="000000"/>
        </w:rPr>
        <w:t xml:space="preserve"> 1.</w:t>
      </w:r>
    </w:p>
    <w:p w14:paraId="1357B828" w14:textId="77777777" w:rsidR="00E634F5" w:rsidRPr="00A50E7E" w:rsidRDefault="00E634F5" w:rsidP="00286CFF">
      <w:pPr>
        <w:spacing w:before="120" w:after="120"/>
        <w:jc w:val="center"/>
        <w:rPr>
          <w:color w:val="000000"/>
          <w:sz w:val="16"/>
          <w:szCs w:val="18"/>
          <w:lang w:val="id-ID"/>
        </w:rPr>
      </w:pPr>
      <w:r w:rsidRPr="00A50E7E">
        <w:rPr>
          <w:color w:val="000000"/>
          <w:sz w:val="16"/>
          <w:szCs w:val="18"/>
          <w:lang w:val="id-ID"/>
        </w:rPr>
        <w:t>Tabel 1. Hasil Metode Model Data Panel</w:t>
      </w:r>
    </w:p>
    <w:tbl>
      <w:tblPr>
        <w:tblW w:w="4322" w:type="dxa"/>
        <w:jc w:val="center"/>
        <w:tblBorders>
          <w:top w:val="single" w:sz="4" w:space="0" w:color="auto"/>
          <w:bottom w:val="single" w:sz="4" w:space="0" w:color="auto"/>
        </w:tblBorders>
        <w:tblLayout w:type="fixed"/>
        <w:tblCellMar>
          <w:left w:w="29" w:type="dxa"/>
          <w:right w:w="29" w:type="dxa"/>
        </w:tblCellMar>
        <w:tblLook w:val="01E0" w:firstRow="1" w:lastRow="1" w:firstColumn="1" w:lastColumn="1" w:noHBand="0" w:noVBand="0"/>
      </w:tblPr>
      <w:tblGrid>
        <w:gridCol w:w="1345"/>
        <w:gridCol w:w="567"/>
        <w:gridCol w:w="567"/>
        <w:gridCol w:w="567"/>
        <w:gridCol w:w="903"/>
        <w:gridCol w:w="373"/>
      </w:tblGrid>
      <w:tr w:rsidR="008A2590" w:rsidRPr="00A50E7E" w14:paraId="0D1B9099" w14:textId="77777777" w:rsidTr="009772E5">
        <w:trPr>
          <w:trHeight w:val="20"/>
          <w:jc w:val="center"/>
        </w:trPr>
        <w:tc>
          <w:tcPr>
            <w:tcW w:w="1345" w:type="dxa"/>
            <w:tcBorders>
              <w:top w:val="single" w:sz="12" w:space="0" w:color="auto"/>
              <w:bottom w:val="single" w:sz="4" w:space="0" w:color="auto"/>
            </w:tcBorders>
            <w:shd w:val="clear" w:color="auto" w:fill="auto"/>
            <w:vAlign w:val="center"/>
          </w:tcPr>
          <w:p w14:paraId="274090AD"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z w:val="16"/>
                <w:szCs w:val="14"/>
                <w:lang w:val="id-ID"/>
              </w:rPr>
              <w:t>Variabel</w:t>
            </w:r>
            <w:r w:rsidRPr="00A50E7E">
              <w:rPr>
                <w:rFonts w:eastAsia="Times New Roman"/>
                <w:bCs/>
                <w:spacing w:val="-2"/>
                <w:sz w:val="16"/>
                <w:szCs w:val="14"/>
                <w:lang w:val="id-ID"/>
              </w:rPr>
              <w:t xml:space="preserve"> Penelitian</w:t>
            </w:r>
          </w:p>
        </w:tc>
        <w:tc>
          <w:tcPr>
            <w:tcW w:w="567" w:type="dxa"/>
            <w:tcBorders>
              <w:top w:val="single" w:sz="12" w:space="0" w:color="auto"/>
              <w:bottom w:val="single" w:sz="4" w:space="0" w:color="auto"/>
            </w:tcBorders>
            <w:shd w:val="clear" w:color="auto" w:fill="auto"/>
            <w:vAlign w:val="center"/>
          </w:tcPr>
          <w:p w14:paraId="72FB14E3" w14:textId="77777777" w:rsidR="008A2590" w:rsidRPr="00A50E7E" w:rsidRDefault="008A2590" w:rsidP="00A159FB">
            <w:pPr>
              <w:widowControl w:val="0"/>
              <w:autoSpaceDE w:val="0"/>
              <w:autoSpaceDN w:val="0"/>
              <w:spacing w:after="0"/>
              <w:ind w:left="16" w:right="17"/>
              <w:jc w:val="right"/>
              <w:rPr>
                <w:rFonts w:eastAsia="Times New Roman"/>
                <w:bCs/>
                <w:sz w:val="16"/>
                <w:szCs w:val="14"/>
                <w:lang w:val="id-ID"/>
              </w:rPr>
            </w:pPr>
            <w:r w:rsidRPr="00A50E7E">
              <w:rPr>
                <w:rFonts w:eastAsia="Times New Roman"/>
                <w:bCs/>
                <w:spacing w:val="-5"/>
                <w:sz w:val="16"/>
                <w:szCs w:val="14"/>
                <w:lang w:val="id-ID"/>
              </w:rPr>
              <w:t>CEM</w:t>
            </w:r>
          </w:p>
        </w:tc>
        <w:tc>
          <w:tcPr>
            <w:tcW w:w="567" w:type="dxa"/>
            <w:tcBorders>
              <w:top w:val="single" w:sz="12" w:space="0" w:color="auto"/>
              <w:bottom w:val="single" w:sz="4" w:space="0" w:color="auto"/>
            </w:tcBorders>
            <w:shd w:val="clear" w:color="auto" w:fill="auto"/>
            <w:vAlign w:val="center"/>
          </w:tcPr>
          <w:p w14:paraId="255D32B7" w14:textId="77777777" w:rsidR="008A2590" w:rsidRPr="00A50E7E" w:rsidRDefault="008A2590" w:rsidP="00A159FB">
            <w:pPr>
              <w:widowControl w:val="0"/>
              <w:autoSpaceDE w:val="0"/>
              <w:autoSpaceDN w:val="0"/>
              <w:spacing w:after="0"/>
              <w:ind w:left="18" w:right="18"/>
              <w:jc w:val="right"/>
              <w:rPr>
                <w:rFonts w:eastAsia="Times New Roman"/>
                <w:bCs/>
                <w:sz w:val="16"/>
                <w:szCs w:val="14"/>
                <w:lang w:val="id-ID"/>
              </w:rPr>
            </w:pPr>
            <w:r w:rsidRPr="00A50E7E">
              <w:rPr>
                <w:rFonts w:eastAsia="Times New Roman"/>
                <w:bCs/>
                <w:spacing w:val="-5"/>
                <w:sz w:val="16"/>
                <w:szCs w:val="14"/>
                <w:lang w:val="id-ID"/>
              </w:rPr>
              <w:t>FEM</w:t>
            </w:r>
          </w:p>
        </w:tc>
        <w:tc>
          <w:tcPr>
            <w:tcW w:w="567" w:type="dxa"/>
            <w:tcBorders>
              <w:top w:val="single" w:sz="12" w:space="0" w:color="auto"/>
              <w:bottom w:val="single" w:sz="4" w:space="0" w:color="auto"/>
            </w:tcBorders>
            <w:shd w:val="clear" w:color="auto" w:fill="auto"/>
            <w:vAlign w:val="center"/>
          </w:tcPr>
          <w:p w14:paraId="036F5FD7" w14:textId="77777777" w:rsidR="008A2590" w:rsidRPr="00A50E7E" w:rsidRDefault="008A2590" w:rsidP="00A159FB">
            <w:pPr>
              <w:widowControl w:val="0"/>
              <w:autoSpaceDE w:val="0"/>
              <w:autoSpaceDN w:val="0"/>
              <w:spacing w:after="0"/>
              <w:ind w:left="18" w:right="20"/>
              <w:jc w:val="right"/>
              <w:rPr>
                <w:rFonts w:eastAsia="Times New Roman"/>
                <w:bCs/>
                <w:sz w:val="16"/>
                <w:szCs w:val="14"/>
                <w:lang w:val="id-ID"/>
              </w:rPr>
            </w:pPr>
            <w:r w:rsidRPr="00A50E7E">
              <w:rPr>
                <w:rFonts w:eastAsia="Times New Roman"/>
                <w:bCs/>
                <w:spacing w:val="-5"/>
                <w:sz w:val="16"/>
                <w:szCs w:val="14"/>
                <w:lang w:val="id-ID"/>
              </w:rPr>
              <w:t>REM</w:t>
            </w:r>
          </w:p>
        </w:tc>
        <w:tc>
          <w:tcPr>
            <w:tcW w:w="903" w:type="dxa"/>
            <w:tcBorders>
              <w:top w:val="single" w:sz="12" w:space="0" w:color="auto"/>
              <w:bottom w:val="single" w:sz="4" w:space="0" w:color="auto"/>
            </w:tcBorders>
            <w:shd w:val="clear" w:color="auto" w:fill="auto"/>
            <w:vAlign w:val="center"/>
          </w:tcPr>
          <w:p w14:paraId="62BC67E9" w14:textId="77777777" w:rsidR="008A2590" w:rsidRPr="00A50E7E" w:rsidRDefault="008A2590" w:rsidP="00A159FB">
            <w:pPr>
              <w:widowControl w:val="0"/>
              <w:autoSpaceDE w:val="0"/>
              <w:autoSpaceDN w:val="0"/>
              <w:spacing w:after="0"/>
              <w:ind w:left="26" w:right="23"/>
              <w:jc w:val="right"/>
              <w:rPr>
                <w:rFonts w:eastAsia="Times New Roman"/>
                <w:bCs/>
                <w:sz w:val="16"/>
                <w:szCs w:val="14"/>
                <w:lang w:val="id-ID"/>
              </w:rPr>
            </w:pPr>
            <w:r w:rsidRPr="00A50E7E">
              <w:rPr>
                <w:rFonts w:eastAsia="Times New Roman"/>
                <w:bCs/>
                <w:spacing w:val="-2"/>
                <w:sz w:val="16"/>
                <w:szCs w:val="14"/>
                <w:lang w:val="id-ID"/>
              </w:rPr>
              <w:t>Probabilitas</w:t>
            </w:r>
          </w:p>
        </w:tc>
        <w:tc>
          <w:tcPr>
            <w:tcW w:w="373" w:type="dxa"/>
            <w:tcBorders>
              <w:top w:val="single" w:sz="12" w:space="0" w:color="auto"/>
              <w:bottom w:val="single" w:sz="4" w:space="0" w:color="auto"/>
            </w:tcBorders>
            <w:shd w:val="clear" w:color="auto" w:fill="auto"/>
            <w:vAlign w:val="center"/>
          </w:tcPr>
          <w:p w14:paraId="70EB474F" w14:textId="77777777" w:rsidR="008A2590" w:rsidRPr="00A50E7E" w:rsidRDefault="008A2590" w:rsidP="00A159FB">
            <w:pPr>
              <w:widowControl w:val="0"/>
              <w:autoSpaceDE w:val="0"/>
              <w:autoSpaceDN w:val="0"/>
              <w:spacing w:after="0"/>
              <w:ind w:left="19" w:right="21"/>
              <w:jc w:val="right"/>
              <w:rPr>
                <w:rFonts w:eastAsia="Times New Roman"/>
                <w:bCs/>
                <w:sz w:val="16"/>
                <w:szCs w:val="14"/>
                <w:lang w:val="id-ID"/>
              </w:rPr>
            </w:pPr>
            <w:r w:rsidRPr="00A50E7E">
              <w:rPr>
                <w:rFonts w:eastAsia="Times New Roman"/>
                <w:bCs/>
                <w:spacing w:val="-10"/>
                <w:sz w:val="16"/>
                <w:szCs w:val="14"/>
                <w:lang w:val="id-ID"/>
              </w:rPr>
              <w:t>α</w:t>
            </w:r>
          </w:p>
        </w:tc>
      </w:tr>
      <w:tr w:rsidR="008A2590" w:rsidRPr="00A50E7E" w14:paraId="155437A4" w14:textId="77777777" w:rsidTr="00A159FB">
        <w:trPr>
          <w:trHeight w:val="20"/>
          <w:jc w:val="center"/>
        </w:trPr>
        <w:tc>
          <w:tcPr>
            <w:tcW w:w="1345" w:type="dxa"/>
            <w:tcBorders>
              <w:top w:val="single" w:sz="4" w:space="0" w:color="auto"/>
            </w:tcBorders>
            <w:shd w:val="clear" w:color="auto" w:fill="auto"/>
            <w:vAlign w:val="center"/>
          </w:tcPr>
          <w:p w14:paraId="7586EA76"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z w:val="16"/>
                <w:szCs w:val="14"/>
                <w:lang w:val="id-ID"/>
              </w:rPr>
              <w:t>Struktur</w:t>
            </w:r>
            <w:r w:rsidRPr="00A50E7E">
              <w:rPr>
                <w:rFonts w:eastAsia="Times New Roman"/>
                <w:bCs/>
                <w:spacing w:val="-2"/>
                <w:sz w:val="16"/>
                <w:szCs w:val="14"/>
                <w:lang w:val="id-ID"/>
              </w:rPr>
              <w:t xml:space="preserve"> </w:t>
            </w:r>
            <w:r w:rsidRPr="00A50E7E">
              <w:rPr>
                <w:rFonts w:eastAsia="Times New Roman"/>
                <w:bCs/>
                <w:sz w:val="16"/>
                <w:szCs w:val="14"/>
                <w:lang w:val="id-ID"/>
              </w:rPr>
              <w:t>Modal</w:t>
            </w:r>
            <w:r w:rsidRPr="00A50E7E">
              <w:rPr>
                <w:rFonts w:eastAsia="Times New Roman"/>
                <w:bCs/>
                <w:spacing w:val="-1"/>
                <w:sz w:val="16"/>
                <w:szCs w:val="14"/>
                <w:lang w:val="id-ID"/>
              </w:rPr>
              <w:t xml:space="preserve"> </w:t>
            </w:r>
            <w:r w:rsidRPr="00A50E7E">
              <w:rPr>
                <w:rFonts w:eastAsia="Times New Roman"/>
                <w:bCs/>
                <w:spacing w:val="-4"/>
                <w:sz w:val="16"/>
                <w:szCs w:val="14"/>
                <w:lang w:val="id-ID"/>
              </w:rPr>
              <w:t>(X</w:t>
            </w:r>
            <w:r w:rsidRPr="00A50E7E">
              <w:rPr>
                <w:rFonts w:eastAsia="Times New Roman"/>
                <w:bCs/>
                <w:spacing w:val="-4"/>
                <w:sz w:val="16"/>
                <w:szCs w:val="14"/>
                <w:vertAlign w:val="subscript"/>
                <w:lang w:val="id-ID"/>
              </w:rPr>
              <w:t>1</w:t>
            </w:r>
            <w:r w:rsidRPr="00A50E7E">
              <w:rPr>
                <w:rFonts w:eastAsia="Times New Roman"/>
                <w:bCs/>
                <w:spacing w:val="-4"/>
                <w:sz w:val="16"/>
                <w:szCs w:val="14"/>
                <w:lang w:val="id-ID"/>
              </w:rPr>
              <w:t>)</w:t>
            </w:r>
          </w:p>
        </w:tc>
        <w:tc>
          <w:tcPr>
            <w:tcW w:w="567" w:type="dxa"/>
            <w:tcBorders>
              <w:top w:val="single" w:sz="4" w:space="0" w:color="auto"/>
            </w:tcBorders>
            <w:shd w:val="clear" w:color="auto" w:fill="auto"/>
            <w:vAlign w:val="center"/>
          </w:tcPr>
          <w:p w14:paraId="53DDA980" w14:textId="77777777" w:rsidR="008A2590" w:rsidRPr="00A50E7E" w:rsidRDefault="008A2590" w:rsidP="00A159FB">
            <w:pPr>
              <w:widowControl w:val="0"/>
              <w:autoSpaceDE w:val="0"/>
              <w:autoSpaceDN w:val="0"/>
              <w:spacing w:after="0"/>
              <w:ind w:right="17"/>
              <w:jc w:val="right"/>
              <w:rPr>
                <w:rFonts w:eastAsia="Times New Roman"/>
                <w:bCs/>
                <w:sz w:val="16"/>
                <w:szCs w:val="14"/>
                <w:lang w:val="id-ID"/>
              </w:rPr>
            </w:pPr>
            <w:r w:rsidRPr="00A50E7E">
              <w:rPr>
                <w:rFonts w:eastAsia="Times New Roman"/>
                <w:bCs/>
                <w:spacing w:val="-2"/>
                <w:sz w:val="16"/>
                <w:szCs w:val="14"/>
                <w:lang w:val="id-ID"/>
              </w:rPr>
              <w:t>0,0588</w:t>
            </w:r>
          </w:p>
        </w:tc>
        <w:tc>
          <w:tcPr>
            <w:tcW w:w="567" w:type="dxa"/>
            <w:tcBorders>
              <w:top w:val="single" w:sz="4" w:space="0" w:color="auto"/>
            </w:tcBorders>
            <w:shd w:val="clear" w:color="auto" w:fill="auto"/>
            <w:vAlign w:val="center"/>
          </w:tcPr>
          <w:p w14:paraId="79BC7E6B" w14:textId="77777777" w:rsidR="008A2590" w:rsidRPr="00A50E7E" w:rsidRDefault="008A2590" w:rsidP="00A159FB">
            <w:pPr>
              <w:widowControl w:val="0"/>
              <w:autoSpaceDE w:val="0"/>
              <w:autoSpaceDN w:val="0"/>
              <w:spacing w:after="0"/>
              <w:ind w:right="18"/>
              <w:jc w:val="right"/>
              <w:rPr>
                <w:rFonts w:eastAsia="Times New Roman"/>
                <w:bCs/>
                <w:sz w:val="16"/>
                <w:szCs w:val="14"/>
                <w:lang w:val="id-ID"/>
              </w:rPr>
            </w:pPr>
            <w:r w:rsidRPr="00A50E7E">
              <w:rPr>
                <w:rFonts w:eastAsia="Times New Roman"/>
                <w:bCs/>
                <w:sz w:val="16"/>
                <w:szCs w:val="14"/>
                <w:lang w:val="id-ID"/>
              </w:rPr>
              <w:t>-</w:t>
            </w:r>
            <w:r w:rsidRPr="00A50E7E">
              <w:rPr>
                <w:rFonts w:eastAsia="Times New Roman"/>
                <w:bCs/>
                <w:spacing w:val="-2"/>
                <w:sz w:val="16"/>
                <w:szCs w:val="14"/>
                <w:lang w:val="id-ID"/>
              </w:rPr>
              <w:t>0,1161</w:t>
            </w:r>
          </w:p>
        </w:tc>
        <w:tc>
          <w:tcPr>
            <w:tcW w:w="567" w:type="dxa"/>
            <w:tcBorders>
              <w:top w:val="single" w:sz="4" w:space="0" w:color="auto"/>
            </w:tcBorders>
            <w:shd w:val="clear" w:color="auto" w:fill="auto"/>
            <w:vAlign w:val="center"/>
          </w:tcPr>
          <w:p w14:paraId="4F4AD6CA" w14:textId="77777777" w:rsidR="008A2590" w:rsidRPr="00A50E7E" w:rsidRDefault="008A2590" w:rsidP="00A159FB">
            <w:pPr>
              <w:widowControl w:val="0"/>
              <w:autoSpaceDE w:val="0"/>
              <w:autoSpaceDN w:val="0"/>
              <w:spacing w:after="0"/>
              <w:ind w:right="20"/>
              <w:jc w:val="right"/>
              <w:rPr>
                <w:rFonts w:eastAsia="Times New Roman"/>
                <w:bCs/>
                <w:sz w:val="16"/>
                <w:szCs w:val="14"/>
                <w:lang w:val="id-ID"/>
              </w:rPr>
            </w:pPr>
            <w:r w:rsidRPr="00A50E7E">
              <w:rPr>
                <w:rFonts w:eastAsia="Times New Roman"/>
                <w:bCs/>
                <w:sz w:val="16"/>
                <w:szCs w:val="14"/>
                <w:lang w:val="id-ID"/>
              </w:rPr>
              <w:t>-</w:t>
            </w:r>
            <w:r w:rsidRPr="00A50E7E">
              <w:rPr>
                <w:rFonts w:eastAsia="Times New Roman"/>
                <w:bCs/>
                <w:spacing w:val="-2"/>
                <w:sz w:val="16"/>
                <w:szCs w:val="14"/>
                <w:lang w:val="id-ID"/>
              </w:rPr>
              <w:t>0,0503</w:t>
            </w:r>
          </w:p>
        </w:tc>
        <w:tc>
          <w:tcPr>
            <w:tcW w:w="903" w:type="dxa"/>
            <w:tcBorders>
              <w:top w:val="single" w:sz="4" w:space="0" w:color="auto"/>
            </w:tcBorders>
            <w:shd w:val="clear" w:color="auto" w:fill="auto"/>
            <w:vAlign w:val="center"/>
          </w:tcPr>
          <w:p w14:paraId="051EF068" w14:textId="77777777" w:rsidR="008A2590" w:rsidRPr="00A50E7E" w:rsidRDefault="008A2590" w:rsidP="00A159FB">
            <w:pPr>
              <w:widowControl w:val="0"/>
              <w:autoSpaceDE w:val="0"/>
              <w:autoSpaceDN w:val="0"/>
              <w:spacing w:after="0"/>
              <w:ind w:left="-714" w:right="126"/>
              <w:jc w:val="right"/>
              <w:rPr>
                <w:rFonts w:eastAsia="Times New Roman"/>
                <w:bCs/>
                <w:sz w:val="16"/>
                <w:szCs w:val="14"/>
                <w:lang w:val="id-ID"/>
              </w:rPr>
            </w:pPr>
            <w:r w:rsidRPr="00A50E7E">
              <w:rPr>
                <w:rFonts w:eastAsia="Times New Roman"/>
                <w:bCs/>
                <w:spacing w:val="-2"/>
                <w:sz w:val="16"/>
                <w:szCs w:val="14"/>
                <w:lang w:val="id-ID"/>
              </w:rPr>
              <w:t>0,8993</w:t>
            </w:r>
          </w:p>
        </w:tc>
        <w:tc>
          <w:tcPr>
            <w:tcW w:w="373" w:type="dxa"/>
            <w:tcBorders>
              <w:top w:val="single" w:sz="4" w:space="0" w:color="auto"/>
            </w:tcBorders>
            <w:shd w:val="clear" w:color="auto" w:fill="auto"/>
            <w:vAlign w:val="center"/>
          </w:tcPr>
          <w:p w14:paraId="0EF98446" w14:textId="77777777" w:rsidR="008A2590" w:rsidRPr="00A50E7E" w:rsidRDefault="008A2590" w:rsidP="00A159FB">
            <w:pPr>
              <w:widowControl w:val="0"/>
              <w:autoSpaceDE w:val="0"/>
              <w:autoSpaceDN w:val="0"/>
              <w:spacing w:after="0"/>
              <w:ind w:right="21"/>
              <w:jc w:val="right"/>
              <w:rPr>
                <w:rFonts w:eastAsia="Times New Roman"/>
                <w:bCs/>
                <w:sz w:val="16"/>
                <w:szCs w:val="14"/>
                <w:lang w:val="id-ID"/>
              </w:rPr>
            </w:pPr>
            <w:r w:rsidRPr="00A50E7E">
              <w:rPr>
                <w:rFonts w:eastAsia="Times New Roman"/>
                <w:bCs/>
                <w:spacing w:val="-4"/>
                <w:sz w:val="16"/>
                <w:szCs w:val="14"/>
                <w:lang w:val="id-ID"/>
              </w:rPr>
              <w:t>0,05</w:t>
            </w:r>
          </w:p>
        </w:tc>
      </w:tr>
      <w:tr w:rsidR="008A2590" w:rsidRPr="00A50E7E" w14:paraId="02DB87C5" w14:textId="77777777" w:rsidTr="00A159FB">
        <w:trPr>
          <w:trHeight w:val="20"/>
          <w:jc w:val="center"/>
        </w:trPr>
        <w:tc>
          <w:tcPr>
            <w:tcW w:w="1345" w:type="dxa"/>
            <w:shd w:val="clear" w:color="auto" w:fill="auto"/>
            <w:vAlign w:val="center"/>
          </w:tcPr>
          <w:p w14:paraId="5AE7499F"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z w:val="16"/>
                <w:szCs w:val="14"/>
                <w:lang w:val="id-ID"/>
              </w:rPr>
              <w:t>Profitabilitas</w:t>
            </w:r>
            <w:r w:rsidRPr="00A50E7E">
              <w:rPr>
                <w:rFonts w:eastAsia="Times New Roman"/>
                <w:bCs/>
                <w:spacing w:val="-6"/>
                <w:sz w:val="16"/>
                <w:szCs w:val="14"/>
                <w:lang w:val="id-ID"/>
              </w:rPr>
              <w:t xml:space="preserve"> </w:t>
            </w:r>
            <w:r w:rsidRPr="00A50E7E">
              <w:rPr>
                <w:rFonts w:eastAsia="Times New Roman"/>
                <w:bCs/>
                <w:spacing w:val="-4"/>
                <w:sz w:val="16"/>
                <w:szCs w:val="14"/>
                <w:lang w:val="id-ID"/>
              </w:rPr>
              <w:t>(X</w:t>
            </w:r>
            <w:r w:rsidRPr="00A50E7E">
              <w:rPr>
                <w:rFonts w:eastAsia="Times New Roman"/>
                <w:bCs/>
                <w:spacing w:val="-4"/>
                <w:sz w:val="16"/>
                <w:szCs w:val="14"/>
                <w:vertAlign w:val="subscript"/>
                <w:lang w:val="id-ID"/>
              </w:rPr>
              <w:t>2</w:t>
            </w:r>
            <w:r w:rsidRPr="00A50E7E">
              <w:rPr>
                <w:rFonts w:eastAsia="Times New Roman"/>
                <w:bCs/>
                <w:spacing w:val="-4"/>
                <w:sz w:val="16"/>
                <w:szCs w:val="14"/>
                <w:lang w:val="id-ID"/>
              </w:rPr>
              <w:t>)</w:t>
            </w:r>
          </w:p>
        </w:tc>
        <w:tc>
          <w:tcPr>
            <w:tcW w:w="567" w:type="dxa"/>
            <w:shd w:val="clear" w:color="auto" w:fill="auto"/>
            <w:vAlign w:val="center"/>
          </w:tcPr>
          <w:p w14:paraId="760037B1" w14:textId="77777777" w:rsidR="008A2590" w:rsidRPr="00A50E7E" w:rsidRDefault="008A2590" w:rsidP="00A159FB">
            <w:pPr>
              <w:widowControl w:val="0"/>
              <w:autoSpaceDE w:val="0"/>
              <w:autoSpaceDN w:val="0"/>
              <w:spacing w:after="0"/>
              <w:ind w:right="17"/>
              <w:jc w:val="right"/>
              <w:rPr>
                <w:rFonts w:eastAsia="Times New Roman"/>
                <w:bCs/>
                <w:sz w:val="16"/>
                <w:szCs w:val="14"/>
                <w:lang w:val="id-ID"/>
              </w:rPr>
            </w:pPr>
            <w:r w:rsidRPr="00A50E7E">
              <w:rPr>
                <w:rFonts w:eastAsia="Times New Roman"/>
                <w:bCs/>
                <w:spacing w:val="-2"/>
                <w:sz w:val="16"/>
                <w:szCs w:val="14"/>
                <w:lang w:val="id-ID"/>
              </w:rPr>
              <w:t>0,1863</w:t>
            </w:r>
          </w:p>
        </w:tc>
        <w:tc>
          <w:tcPr>
            <w:tcW w:w="567" w:type="dxa"/>
            <w:shd w:val="clear" w:color="auto" w:fill="auto"/>
            <w:vAlign w:val="center"/>
          </w:tcPr>
          <w:p w14:paraId="016586D4" w14:textId="77777777" w:rsidR="008A2590" w:rsidRPr="00A50E7E" w:rsidRDefault="008A2590" w:rsidP="00A159FB">
            <w:pPr>
              <w:widowControl w:val="0"/>
              <w:autoSpaceDE w:val="0"/>
              <w:autoSpaceDN w:val="0"/>
              <w:spacing w:after="0"/>
              <w:ind w:right="18"/>
              <w:jc w:val="right"/>
              <w:rPr>
                <w:rFonts w:eastAsia="Times New Roman"/>
                <w:bCs/>
                <w:sz w:val="16"/>
                <w:szCs w:val="14"/>
                <w:lang w:val="id-ID"/>
              </w:rPr>
            </w:pPr>
            <w:r w:rsidRPr="00A50E7E">
              <w:rPr>
                <w:rFonts w:eastAsia="Times New Roman"/>
                <w:bCs/>
                <w:spacing w:val="-2"/>
                <w:sz w:val="16"/>
                <w:szCs w:val="14"/>
                <w:lang w:val="id-ID"/>
              </w:rPr>
              <w:t>0,2004</w:t>
            </w:r>
          </w:p>
        </w:tc>
        <w:tc>
          <w:tcPr>
            <w:tcW w:w="567" w:type="dxa"/>
            <w:shd w:val="clear" w:color="auto" w:fill="auto"/>
            <w:vAlign w:val="center"/>
          </w:tcPr>
          <w:p w14:paraId="2EF21A81" w14:textId="77777777" w:rsidR="008A2590" w:rsidRPr="00A50E7E" w:rsidRDefault="008A2590" w:rsidP="00A159FB">
            <w:pPr>
              <w:widowControl w:val="0"/>
              <w:autoSpaceDE w:val="0"/>
              <w:autoSpaceDN w:val="0"/>
              <w:spacing w:after="0"/>
              <w:ind w:right="20"/>
              <w:jc w:val="right"/>
              <w:rPr>
                <w:rFonts w:eastAsia="Times New Roman"/>
                <w:bCs/>
                <w:sz w:val="16"/>
                <w:szCs w:val="14"/>
                <w:lang w:val="id-ID"/>
              </w:rPr>
            </w:pPr>
            <w:r w:rsidRPr="00A50E7E">
              <w:rPr>
                <w:rFonts w:eastAsia="Times New Roman"/>
                <w:bCs/>
                <w:spacing w:val="-2"/>
                <w:sz w:val="16"/>
                <w:szCs w:val="14"/>
                <w:lang w:val="id-ID"/>
              </w:rPr>
              <w:t>0,2003</w:t>
            </w:r>
          </w:p>
        </w:tc>
        <w:tc>
          <w:tcPr>
            <w:tcW w:w="903" w:type="dxa"/>
            <w:shd w:val="clear" w:color="auto" w:fill="auto"/>
            <w:vAlign w:val="center"/>
          </w:tcPr>
          <w:p w14:paraId="18EF9624" w14:textId="77777777" w:rsidR="008A2590" w:rsidRPr="00A50E7E" w:rsidRDefault="008A2590" w:rsidP="00A159FB">
            <w:pPr>
              <w:widowControl w:val="0"/>
              <w:autoSpaceDE w:val="0"/>
              <w:autoSpaceDN w:val="0"/>
              <w:spacing w:after="0"/>
              <w:ind w:left="-714" w:right="126"/>
              <w:jc w:val="right"/>
              <w:rPr>
                <w:rFonts w:eastAsia="Times New Roman"/>
                <w:bCs/>
                <w:sz w:val="16"/>
                <w:szCs w:val="14"/>
                <w:lang w:val="id-ID"/>
              </w:rPr>
            </w:pPr>
            <w:r w:rsidRPr="00A50E7E">
              <w:rPr>
                <w:rFonts w:eastAsia="Times New Roman"/>
                <w:bCs/>
                <w:spacing w:val="-2"/>
                <w:sz w:val="16"/>
                <w:szCs w:val="14"/>
                <w:lang w:val="id-ID"/>
              </w:rPr>
              <w:t>0,0624</w:t>
            </w:r>
          </w:p>
        </w:tc>
        <w:tc>
          <w:tcPr>
            <w:tcW w:w="373" w:type="dxa"/>
            <w:shd w:val="clear" w:color="auto" w:fill="auto"/>
            <w:vAlign w:val="center"/>
          </w:tcPr>
          <w:p w14:paraId="3A5FA8CD" w14:textId="77777777" w:rsidR="008A2590" w:rsidRPr="00A50E7E" w:rsidRDefault="008A2590" w:rsidP="00A159FB">
            <w:pPr>
              <w:widowControl w:val="0"/>
              <w:autoSpaceDE w:val="0"/>
              <w:autoSpaceDN w:val="0"/>
              <w:spacing w:after="0"/>
              <w:ind w:right="21"/>
              <w:jc w:val="right"/>
              <w:rPr>
                <w:rFonts w:eastAsia="Times New Roman"/>
                <w:bCs/>
                <w:sz w:val="16"/>
                <w:szCs w:val="14"/>
                <w:lang w:val="id-ID"/>
              </w:rPr>
            </w:pPr>
            <w:r w:rsidRPr="00A50E7E">
              <w:rPr>
                <w:rFonts w:eastAsia="Times New Roman"/>
                <w:bCs/>
                <w:spacing w:val="-4"/>
                <w:sz w:val="16"/>
                <w:szCs w:val="14"/>
                <w:lang w:val="id-ID"/>
              </w:rPr>
              <w:t>0,05</w:t>
            </w:r>
          </w:p>
        </w:tc>
      </w:tr>
      <w:tr w:rsidR="008A2590" w:rsidRPr="00A50E7E" w14:paraId="3642BDB5" w14:textId="77777777" w:rsidTr="00A159FB">
        <w:trPr>
          <w:trHeight w:val="20"/>
          <w:jc w:val="center"/>
        </w:trPr>
        <w:tc>
          <w:tcPr>
            <w:tcW w:w="1345" w:type="dxa"/>
            <w:shd w:val="clear" w:color="auto" w:fill="auto"/>
            <w:vAlign w:val="center"/>
          </w:tcPr>
          <w:p w14:paraId="3AF450B5"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z w:val="16"/>
                <w:szCs w:val="14"/>
                <w:lang w:val="id-ID"/>
              </w:rPr>
              <w:t>Ukuran</w:t>
            </w:r>
            <w:r w:rsidRPr="00A50E7E">
              <w:rPr>
                <w:rFonts w:eastAsia="Times New Roman"/>
                <w:bCs/>
                <w:spacing w:val="-3"/>
                <w:sz w:val="16"/>
                <w:szCs w:val="14"/>
                <w:lang w:val="id-ID"/>
              </w:rPr>
              <w:t xml:space="preserve"> </w:t>
            </w:r>
            <w:r w:rsidRPr="00A50E7E">
              <w:rPr>
                <w:rFonts w:eastAsia="Times New Roman"/>
                <w:bCs/>
                <w:sz w:val="16"/>
                <w:szCs w:val="14"/>
                <w:lang w:val="id-ID"/>
              </w:rPr>
              <w:t xml:space="preserve">Perusahaan </w:t>
            </w:r>
            <w:r w:rsidRPr="00A50E7E">
              <w:rPr>
                <w:rFonts w:eastAsia="Times New Roman"/>
                <w:bCs/>
                <w:spacing w:val="-4"/>
                <w:sz w:val="16"/>
                <w:szCs w:val="14"/>
                <w:lang w:val="id-ID"/>
              </w:rPr>
              <w:t>(X</w:t>
            </w:r>
            <w:r w:rsidRPr="00A50E7E">
              <w:rPr>
                <w:rFonts w:eastAsia="Times New Roman"/>
                <w:bCs/>
                <w:spacing w:val="-4"/>
                <w:sz w:val="16"/>
                <w:szCs w:val="14"/>
                <w:vertAlign w:val="subscript"/>
                <w:lang w:val="id-ID"/>
              </w:rPr>
              <w:t>3</w:t>
            </w:r>
            <w:r w:rsidRPr="00A50E7E">
              <w:rPr>
                <w:rFonts w:eastAsia="Times New Roman"/>
                <w:bCs/>
                <w:spacing w:val="-4"/>
                <w:sz w:val="16"/>
                <w:szCs w:val="14"/>
                <w:lang w:val="id-ID"/>
              </w:rPr>
              <w:t>)</w:t>
            </w:r>
          </w:p>
        </w:tc>
        <w:tc>
          <w:tcPr>
            <w:tcW w:w="567" w:type="dxa"/>
            <w:shd w:val="clear" w:color="auto" w:fill="auto"/>
            <w:vAlign w:val="center"/>
          </w:tcPr>
          <w:p w14:paraId="49C8F5D0" w14:textId="77777777" w:rsidR="008A2590" w:rsidRPr="00A50E7E" w:rsidRDefault="008A2590" w:rsidP="00A159FB">
            <w:pPr>
              <w:widowControl w:val="0"/>
              <w:autoSpaceDE w:val="0"/>
              <w:autoSpaceDN w:val="0"/>
              <w:spacing w:after="0"/>
              <w:ind w:right="17"/>
              <w:jc w:val="right"/>
              <w:rPr>
                <w:rFonts w:eastAsia="Times New Roman"/>
                <w:bCs/>
                <w:sz w:val="16"/>
                <w:szCs w:val="14"/>
                <w:lang w:val="id-ID"/>
              </w:rPr>
            </w:pPr>
            <w:r w:rsidRPr="00A50E7E">
              <w:rPr>
                <w:rFonts w:eastAsia="Times New Roman"/>
                <w:bCs/>
                <w:spacing w:val="-2"/>
                <w:sz w:val="16"/>
                <w:szCs w:val="14"/>
                <w:lang w:val="id-ID"/>
              </w:rPr>
              <w:t>0,4205</w:t>
            </w:r>
          </w:p>
        </w:tc>
        <w:tc>
          <w:tcPr>
            <w:tcW w:w="567" w:type="dxa"/>
            <w:shd w:val="clear" w:color="auto" w:fill="auto"/>
            <w:vAlign w:val="center"/>
          </w:tcPr>
          <w:p w14:paraId="3D8B1709" w14:textId="77777777" w:rsidR="008A2590" w:rsidRPr="00A50E7E" w:rsidRDefault="008A2590" w:rsidP="00A159FB">
            <w:pPr>
              <w:widowControl w:val="0"/>
              <w:autoSpaceDE w:val="0"/>
              <w:autoSpaceDN w:val="0"/>
              <w:spacing w:after="0"/>
              <w:ind w:right="18"/>
              <w:jc w:val="right"/>
              <w:rPr>
                <w:rFonts w:eastAsia="Times New Roman"/>
                <w:bCs/>
                <w:sz w:val="16"/>
                <w:szCs w:val="14"/>
                <w:lang w:val="id-ID"/>
              </w:rPr>
            </w:pPr>
            <w:r w:rsidRPr="00A50E7E">
              <w:rPr>
                <w:rFonts w:eastAsia="Times New Roman"/>
                <w:bCs/>
                <w:sz w:val="16"/>
                <w:szCs w:val="14"/>
                <w:lang w:val="id-ID"/>
              </w:rPr>
              <w:t>-</w:t>
            </w:r>
            <w:r w:rsidRPr="00A50E7E">
              <w:rPr>
                <w:rFonts w:eastAsia="Times New Roman"/>
                <w:bCs/>
                <w:spacing w:val="-2"/>
                <w:sz w:val="16"/>
                <w:szCs w:val="14"/>
                <w:lang w:val="id-ID"/>
              </w:rPr>
              <w:t>0,2897</w:t>
            </w:r>
          </w:p>
        </w:tc>
        <w:tc>
          <w:tcPr>
            <w:tcW w:w="567" w:type="dxa"/>
            <w:shd w:val="clear" w:color="auto" w:fill="auto"/>
            <w:vAlign w:val="center"/>
          </w:tcPr>
          <w:p w14:paraId="1BFF9262" w14:textId="77777777" w:rsidR="008A2590" w:rsidRPr="00A50E7E" w:rsidRDefault="008A2590" w:rsidP="00A159FB">
            <w:pPr>
              <w:widowControl w:val="0"/>
              <w:autoSpaceDE w:val="0"/>
              <w:autoSpaceDN w:val="0"/>
              <w:spacing w:after="0"/>
              <w:ind w:right="20"/>
              <w:jc w:val="right"/>
              <w:rPr>
                <w:rFonts w:eastAsia="Times New Roman"/>
                <w:bCs/>
                <w:sz w:val="16"/>
                <w:szCs w:val="14"/>
                <w:lang w:val="id-ID"/>
              </w:rPr>
            </w:pPr>
            <w:r w:rsidRPr="00A50E7E">
              <w:rPr>
                <w:rFonts w:eastAsia="Times New Roman"/>
                <w:bCs/>
                <w:spacing w:val="-2"/>
                <w:sz w:val="16"/>
                <w:szCs w:val="14"/>
                <w:lang w:val="id-ID"/>
              </w:rPr>
              <w:t>0,4132</w:t>
            </w:r>
          </w:p>
        </w:tc>
        <w:tc>
          <w:tcPr>
            <w:tcW w:w="903" w:type="dxa"/>
            <w:shd w:val="clear" w:color="auto" w:fill="auto"/>
            <w:vAlign w:val="center"/>
          </w:tcPr>
          <w:p w14:paraId="369F7279" w14:textId="77777777" w:rsidR="008A2590" w:rsidRPr="00A50E7E" w:rsidRDefault="008A2590" w:rsidP="00A159FB">
            <w:pPr>
              <w:widowControl w:val="0"/>
              <w:autoSpaceDE w:val="0"/>
              <w:autoSpaceDN w:val="0"/>
              <w:spacing w:after="0"/>
              <w:ind w:left="-714" w:right="126"/>
              <w:jc w:val="right"/>
              <w:rPr>
                <w:rFonts w:eastAsia="Times New Roman"/>
                <w:bCs/>
                <w:sz w:val="16"/>
                <w:szCs w:val="14"/>
                <w:lang w:val="id-ID"/>
              </w:rPr>
            </w:pPr>
            <w:r w:rsidRPr="00A50E7E">
              <w:rPr>
                <w:rFonts w:eastAsia="Times New Roman"/>
                <w:bCs/>
                <w:spacing w:val="-2"/>
                <w:sz w:val="16"/>
                <w:szCs w:val="14"/>
                <w:lang w:val="id-ID"/>
              </w:rPr>
              <w:t>0,0000</w:t>
            </w:r>
          </w:p>
        </w:tc>
        <w:tc>
          <w:tcPr>
            <w:tcW w:w="373" w:type="dxa"/>
            <w:shd w:val="clear" w:color="auto" w:fill="auto"/>
            <w:vAlign w:val="center"/>
          </w:tcPr>
          <w:p w14:paraId="1DF760A1" w14:textId="77777777" w:rsidR="008A2590" w:rsidRPr="00A50E7E" w:rsidRDefault="008A2590" w:rsidP="00A159FB">
            <w:pPr>
              <w:widowControl w:val="0"/>
              <w:autoSpaceDE w:val="0"/>
              <w:autoSpaceDN w:val="0"/>
              <w:spacing w:after="0"/>
              <w:ind w:right="21"/>
              <w:jc w:val="right"/>
              <w:rPr>
                <w:rFonts w:eastAsia="Times New Roman"/>
                <w:bCs/>
                <w:sz w:val="16"/>
                <w:szCs w:val="14"/>
                <w:lang w:val="id-ID"/>
              </w:rPr>
            </w:pPr>
            <w:r w:rsidRPr="00A50E7E">
              <w:rPr>
                <w:rFonts w:eastAsia="Times New Roman"/>
                <w:bCs/>
                <w:spacing w:val="-4"/>
                <w:sz w:val="16"/>
                <w:szCs w:val="14"/>
                <w:lang w:val="id-ID"/>
              </w:rPr>
              <w:t>0,05</w:t>
            </w:r>
          </w:p>
        </w:tc>
      </w:tr>
    </w:tbl>
    <w:p w14:paraId="471BFA98" w14:textId="77777777" w:rsidR="00E634F5" w:rsidRPr="00A50E7E" w:rsidRDefault="00E634F5" w:rsidP="00A159FB">
      <w:pPr>
        <w:numPr>
          <w:ilvl w:val="0"/>
          <w:numId w:val="13"/>
        </w:numPr>
        <w:spacing w:before="120" w:after="120"/>
        <w:ind w:left="426" w:hanging="426"/>
        <w:rPr>
          <w:color w:val="000000"/>
          <w:lang w:val="id-ID"/>
        </w:rPr>
      </w:pPr>
      <w:r w:rsidRPr="00A50E7E">
        <w:rPr>
          <w:color w:val="000000"/>
          <w:lang w:val="id-ID"/>
        </w:rPr>
        <w:t>Pemilihan Model Data Panel</w:t>
      </w:r>
    </w:p>
    <w:p w14:paraId="176971C9" w14:textId="233F604C" w:rsidR="00E634F5" w:rsidRPr="00A50E7E" w:rsidRDefault="001C284F" w:rsidP="00A159FB">
      <w:pPr>
        <w:spacing w:before="120" w:after="120"/>
        <w:rPr>
          <w:color w:val="000000"/>
          <w:lang w:val="id-ID"/>
        </w:rPr>
      </w:pPr>
      <w:r w:rsidRPr="00A50E7E">
        <w:rPr>
          <w:color w:val="000000"/>
          <w:lang w:val="id-ID"/>
        </w:rPr>
        <w:t xml:space="preserve">Penelitian ini menggunakan pendekatan uji bertahap untuk menentukan model data panel terbaik melalui tiga prosedur pengujian statistik. Tahap pertama melibatkan </w:t>
      </w:r>
      <w:proofErr w:type="spellStart"/>
      <w:r w:rsidRPr="00A50E7E">
        <w:rPr>
          <w:i/>
          <w:iCs/>
          <w:color w:val="000000"/>
          <w:lang w:val="id-ID"/>
        </w:rPr>
        <w:t>Chow</w:t>
      </w:r>
      <w:proofErr w:type="spellEnd"/>
      <w:r w:rsidRPr="00A50E7E">
        <w:rPr>
          <w:i/>
          <w:iCs/>
          <w:color w:val="000000"/>
          <w:lang w:val="id-ID"/>
        </w:rPr>
        <w:t xml:space="preserve"> </w:t>
      </w:r>
      <w:proofErr w:type="spellStart"/>
      <w:r w:rsidRPr="00A50E7E">
        <w:rPr>
          <w:i/>
          <w:iCs/>
          <w:color w:val="000000"/>
          <w:lang w:val="id-ID"/>
        </w:rPr>
        <w:t>Test</w:t>
      </w:r>
      <w:proofErr w:type="spellEnd"/>
      <w:r w:rsidRPr="00A50E7E">
        <w:rPr>
          <w:color w:val="000000"/>
          <w:lang w:val="id-ID"/>
        </w:rPr>
        <w:t xml:space="preserve"> untuk membandingkan </w:t>
      </w:r>
      <w:proofErr w:type="spellStart"/>
      <w:r w:rsidRPr="00A50E7E">
        <w:rPr>
          <w:i/>
          <w:iCs/>
          <w:color w:val="000000"/>
          <w:lang w:val="id-ID"/>
        </w:rPr>
        <w:t>Common</w:t>
      </w:r>
      <w:proofErr w:type="spellEnd"/>
      <w:r w:rsidRPr="00A50E7E">
        <w:rPr>
          <w:i/>
          <w:iCs/>
          <w:color w:val="000000"/>
          <w:lang w:val="id-ID"/>
        </w:rPr>
        <w:t xml:space="preserve"> </w:t>
      </w:r>
      <w:proofErr w:type="spellStart"/>
      <w:r w:rsidRPr="00A50E7E">
        <w:rPr>
          <w:i/>
          <w:iCs/>
          <w:color w:val="000000"/>
          <w:lang w:val="id-ID"/>
        </w:rPr>
        <w:t>Effect</w:t>
      </w:r>
      <w:proofErr w:type="spellEnd"/>
      <w:r w:rsidRPr="00A50E7E">
        <w:rPr>
          <w:i/>
          <w:iCs/>
          <w:color w:val="000000"/>
          <w:lang w:val="id-ID"/>
        </w:rPr>
        <w:t xml:space="preserve"> Model</w:t>
      </w:r>
      <w:r w:rsidRPr="00A50E7E">
        <w:rPr>
          <w:color w:val="000000"/>
          <w:lang w:val="id-ID"/>
        </w:rPr>
        <w:t xml:space="preserve"> (CEM) dengan </w:t>
      </w:r>
      <w:proofErr w:type="spellStart"/>
      <w:r w:rsidRPr="00A50E7E">
        <w:rPr>
          <w:i/>
          <w:iCs/>
          <w:color w:val="000000"/>
          <w:lang w:val="id-ID"/>
        </w:rPr>
        <w:t>Fixed</w:t>
      </w:r>
      <w:proofErr w:type="spellEnd"/>
      <w:r w:rsidRPr="00A50E7E">
        <w:rPr>
          <w:i/>
          <w:iCs/>
          <w:color w:val="000000"/>
          <w:lang w:val="id-ID"/>
        </w:rPr>
        <w:t xml:space="preserve"> </w:t>
      </w:r>
      <w:proofErr w:type="spellStart"/>
      <w:r w:rsidRPr="00A50E7E">
        <w:rPr>
          <w:i/>
          <w:iCs/>
          <w:color w:val="000000"/>
          <w:lang w:val="id-ID"/>
        </w:rPr>
        <w:t>Effect</w:t>
      </w:r>
      <w:proofErr w:type="spellEnd"/>
      <w:r w:rsidRPr="00A50E7E">
        <w:rPr>
          <w:i/>
          <w:iCs/>
          <w:color w:val="000000"/>
          <w:lang w:val="id-ID"/>
        </w:rPr>
        <w:t xml:space="preserve"> Model</w:t>
      </w:r>
      <w:r w:rsidRPr="00A50E7E">
        <w:rPr>
          <w:color w:val="000000"/>
          <w:lang w:val="id-ID"/>
        </w:rPr>
        <w:t xml:space="preserve"> (FEM), diikuti </w:t>
      </w:r>
      <w:proofErr w:type="spellStart"/>
      <w:r w:rsidRPr="00A50E7E">
        <w:rPr>
          <w:i/>
          <w:iCs/>
          <w:color w:val="000000"/>
          <w:lang w:val="id-ID"/>
        </w:rPr>
        <w:t>Hausman</w:t>
      </w:r>
      <w:proofErr w:type="spellEnd"/>
      <w:r w:rsidRPr="00A50E7E">
        <w:rPr>
          <w:i/>
          <w:iCs/>
          <w:color w:val="000000"/>
          <w:lang w:val="id-ID"/>
        </w:rPr>
        <w:t xml:space="preserve"> </w:t>
      </w:r>
      <w:proofErr w:type="spellStart"/>
      <w:r w:rsidRPr="00A50E7E">
        <w:rPr>
          <w:i/>
          <w:iCs/>
          <w:color w:val="000000"/>
          <w:lang w:val="id-ID"/>
        </w:rPr>
        <w:t>Test</w:t>
      </w:r>
      <w:proofErr w:type="spellEnd"/>
      <w:r w:rsidRPr="00A50E7E">
        <w:rPr>
          <w:color w:val="000000"/>
          <w:lang w:val="id-ID"/>
        </w:rPr>
        <w:t xml:space="preserve"> yang menguji </w:t>
      </w:r>
      <w:proofErr w:type="spellStart"/>
      <w:r w:rsidRPr="00A50E7E">
        <w:rPr>
          <w:i/>
          <w:iCs/>
          <w:color w:val="000000"/>
          <w:lang w:val="id-ID"/>
        </w:rPr>
        <w:t>Random</w:t>
      </w:r>
      <w:proofErr w:type="spellEnd"/>
      <w:r w:rsidRPr="00A50E7E">
        <w:rPr>
          <w:i/>
          <w:iCs/>
          <w:color w:val="000000"/>
          <w:lang w:val="id-ID"/>
        </w:rPr>
        <w:t xml:space="preserve"> </w:t>
      </w:r>
      <w:proofErr w:type="spellStart"/>
      <w:r w:rsidRPr="00A50E7E">
        <w:rPr>
          <w:i/>
          <w:iCs/>
          <w:color w:val="000000"/>
          <w:lang w:val="id-ID"/>
        </w:rPr>
        <w:t>Effect</w:t>
      </w:r>
      <w:proofErr w:type="spellEnd"/>
      <w:r w:rsidRPr="00A50E7E">
        <w:rPr>
          <w:i/>
          <w:iCs/>
          <w:color w:val="000000"/>
          <w:lang w:val="id-ID"/>
        </w:rPr>
        <w:t xml:space="preserve"> Model </w:t>
      </w:r>
      <w:r w:rsidRPr="00A50E7E">
        <w:rPr>
          <w:color w:val="000000"/>
          <w:lang w:val="id-ID"/>
        </w:rPr>
        <w:t xml:space="preserve">(REM) terhadap FEM, serta </w:t>
      </w:r>
      <w:proofErr w:type="spellStart"/>
      <w:r w:rsidRPr="00A50E7E">
        <w:rPr>
          <w:i/>
          <w:iCs/>
          <w:color w:val="000000"/>
          <w:lang w:val="id-ID"/>
        </w:rPr>
        <w:t>Lagrange</w:t>
      </w:r>
      <w:proofErr w:type="spellEnd"/>
      <w:r w:rsidRPr="00A50E7E">
        <w:rPr>
          <w:i/>
          <w:iCs/>
          <w:color w:val="000000"/>
          <w:lang w:val="id-ID"/>
        </w:rPr>
        <w:t xml:space="preserve"> </w:t>
      </w:r>
      <w:proofErr w:type="spellStart"/>
      <w:r w:rsidRPr="00A50E7E">
        <w:rPr>
          <w:i/>
          <w:iCs/>
          <w:color w:val="000000"/>
          <w:lang w:val="id-ID"/>
        </w:rPr>
        <w:t>Multiplier</w:t>
      </w:r>
      <w:proofErr w:type="spellEnd"/>
      <w:r w:rsidRPr="00A50E7E">
        <w:rPr>
          <w:i/>
          <w:iCs/>
          <w:color w:val="000000"/>
          <w:lang w:val="id-ID"/>
        </w:rPr>
        <w:t xml:space="preserve"> </w:t>
      </w:r>
      <w:proofErr w:type="spellStart"/>
      <w:r w:rsidRPr="00A50E7E">
        <w:rPr>
          <w:i/>
          <w:iCs/>
          <w:color w:val="000000"/>
          <w:lang w:val="id-ID"/>
        </w:rPr>
        <w:t>Test</w:t>
      </w:r>
      <w:proofErr w:type="spellEnd"/>
      <w:r w:rsidRPr="00A50E7E">
        <w:rPr>
          <w:color w:val="000000"/>
          <w:lang w:val="id-ID"/>
        </w:rPr>
        <w:t xml:space="preserve"> yang membandingkan CEM dengan REM. Pemilihan model akhir didasarkan pada kriteria pengambilan keputusan statistik yang telah ditetapkan untuk memastikan kesesuaian model regresi yang digunakan dalam analisis</w:t>
      </w:r>
      <w:r w:rsidR="00A159FB" w:rsidRPr="00A50E7E">
        <w:rPr>
          <w:color w:val="000000"/>
        </w:rPr>
        <w:t xml:space="preserve">, yang </w:t>
      </w:r>
      <w:proofErr w:type="spellStart"/>
      <w:r w:rsidR="00A159FB" w:rsidRPr="00A50E7E">
        <w:rPr>
          <w:color w:val="000000"/>
        </w:rPr>
        <w:t>dapat</w:t>
      </w:r>
      <w:proofErr w:type="spellEnd"/>
      <w:r w:rsidR="00A159FB" w:rsidRPr="00A50E7E">
        <w:rPr>
          <w:color w:val="000000"/>
        </w:rPr>
        <w:t xml:space="preserve"> </w:t>
      </w:r>
      <w:proofErr w:type="spellStart"/>
      <w:r w:rsidR="00A159FB" w:rsidRPr="00A50E7E">
        <w:rPr>
          <w:color w:val="000000"/>
        </w:rPr>
        <w:t>dilihat</w:t>
      </w:r>
      <w:proofErr w:type="spellEnd"/>
      <w:r w:rsidR="00A159FB" w:rsidRPr="00A50E7E">
        <w:rPr>
          <w:color w:val="000000"/>
        </w:rPr>
        <w:t xml:space="preserve"> pada </w:t>
      </w:r>
      <w:proofErr w:type="spellStart"/>
      <w:r w:rsidR="00A159FB" w:rsidRPr="00A50E7E">
        <w:rPr>
          <w:color w:val="000000"/>
        </w:rPr>
        <w:t>Tabel</w:t>
      </w:r>
      <w:proofErr w:type="spellEnd"/>
      <w:r w:rsidR="00A159FB" w:rsidRPr="00A50E7E">
        <w:rPr>
          <w:color w:val="000000"/>
        </w:rPr>
        <w:t xml:space="preserve"> 2</w:t>
      </w:r>
      <w:r w:rsidRPr="00A50E7E">
        <w:rPr>
          <w:color w:val="000000"/>
          <w:lang w:val="id-ID"/>
        </w:rPr>
        <w:t xml:space="preserve">. </w:t>
      </w:r>
      <w:r w:rsidR="00E634F5" w:rsidRPr="00A50E7E">
        <w:rPr>
          <w:color w:val="000000"/>
          <w:lang w:val="id-ID"/>
        </w:rPr>
        <w:t xml:space="preserve">Dasar pengambilan keputusan dalam </w:t>
      </w:r>
      <w:proofErr w:type="spellStart"/>
      <w:r w:rsidR="00E634F5" w:rsidRPr="00A50E7E">
        <w:rPr>
          <w:i/>
          <w:color w:val="000000"/>
          <w:lang w:val="id-ID"/>
        </w:rPr>
        <w:t>chow</w:t>
      </w:r>
      <w:proofErr w:type="spellEnd"/>
      <w:r w:rsidR="00E634F5" w:rsidRPr="00A50E7E">
        <w:rPr>
          <w:i/>
          <w:color w:val="000000"/>
          <w:lang w:val="id-ID"/>
        </w:rPr>
        <w:t xml:space="preserve"> </w:t>
      </w:r>
      <w:proofErr w:type="spellStart"/>
      <w:r w:rsidR="00E634F5" w:rsidRPr="00A50E7E">
        <w:rPr>
          <w:i/>
          <w:color w:val="000000"/>
          <w:lang w:val="id-ID"/>
        </w:rPr>
        <w:t>test</w:t>
      </w:r>
      <w:proofErr w:type="spellEnd"/>
      <w:r w:rsidR="00E634F5" w:rsidRPr="00A50E7E">
        <w:rPr>
          <w:i/>
          <w:color w:val="000000"/>
          <w:lang w:val="id-ID"/>
        </w:rPr>
        <w:t xml:space="preserve"> </w:t>
      </w:r>
      <w:r w:rsidR="00E634F5" w:rsidRPr="00A50E7E">
        <w:rPr>
          <w:color w:val="000000"/>
          <w:lang w:val="id-ID"/>
        </w:rPr>
        <w:t>ialah sebagai berikut:</w:t>
      </w:r>
    </w:p>
    <w:p w14:paraId="433EFA52" w14:textId="77777777" w:rsidR="00E634F5" w:rsidRPr="00A50E7E" w:rsidRDefault="00E634F5" w:rsidP="00A159FB">
      <w:pPr>
        <w:numPr>
          <w:ilvl w:val="1"/>
          <w:numId w:val="8"/>
        </w:numPr>
        <w:spacing w:before="120" w:after="120"/>
        <w:ind w:left="360" w:hanging="374"/>
        <w:rPr>
          <w:color w:val="000000"/>
          <w:lang w:val="id-ID"/>
        </w:rPr>
      </w:pPr>
      <w:r w:rsidRPr="00A50E7E">
        <w:rPr>
          <w:color w:val="000000"/>
          <w:lang w:val="id-ID"/>
        </w:rPr>
        <w:lastRenderedPageBreak/>
        <w:t xml:space="preserve">Jika nilai probabilitas </w:t>
      </w:r>
      <w:proofErr w:type="spellStart"/>
      <w:r w:rsidRPr="00A50E7E">
        <w:rPr>
          <w:i/>
          <w:color w:val="000000"/>
          <w:lang w:val="id-ID"/>
        </w:rPr>
        <w:t>cross-section</w:t>
      </w:r>
      <w:proofErr w:type="spellEnd"/>
      <w:r w:rsidRPr="00A50E7E">
        <w:rPr>
          <w:i/>
          <w:color w:val="000000"/>
          <w:lang w:val="id-ID"/>
        </w:rPr>
        <w:t xml:space="preserve"> f </w:t>
      </w:r>
      <w:r w:rsidRPr="00A50E7E">
        <w:rPr>
          <w:color w:val="000000"/>
          <w:lang w:val="id-ID"/>
        </w:rPr>
        <w:t>&gt; nilai α 0,05, maka H</w:t>
      </w:r>
      <w:r w:rsidRPr="00A50E7E">
        <w:rPr>
          <w:color w:val="000000"/>
          <w:vertAlign w:val="subscript"/>
          <w:lang w:val="id-ID"/>
        </w:rPr>
        <w:t>0</w:t>
      </w:r>
      <w:r w:rsidRPr="00A50E7E">
        <w:rPr>
          <w:color w:val="000000"/>
          <w:lang w:val="id-ID"/>
        </w:rPr>
        <w:t xml:space="preserve"> diterima (CEM).</w:t>
      </w:r>
    </w:p>
    <w:p w14:paraId="6215EE82" w14:textId="77777777" w:rsidR="00E634F5" w:rsidRPr="00A50E7E" w:rsidRDefault="00E634F5" w:rsidP="00A159FB">
      <w:pPr>
        <w:numPr>
          <w:ilvl w:val="1"/>
          <w:numId w:val="8"/>
        </w:numPr>
        <w:spacing w:before="120" w:after="120"/>
        <w:ind w:left="360" w:hanging="374"/>
        <w:rPr>
          <w:color w:val="000000"/>
          <w:lang w:val="id-ID"/>
        </w:rPr>
      </w:pPr>
      <w:r w:rsidRPr="00A50E7E">
        <w:rPr>
          <w:color w:val="000000"/>
          <w:lang w:val="id-ID"/>
        </w:rPr>
        <w:t xml:space="preserve">Jika nilai probabilitas </w:t>
      </w:r>
      <w:proofErr w:type="spellStart"/>
      <w:r w:rsidRPr="00A50E7E">
        <w:rPr>
          <w:i/>
          <w:color w:val="000000"/>
          <w:lang w:val="id-ID"/>
        </w:rPr>
        <w:t>cross-section</w:t>
      </w:r>
      <w:proofErr w:type="spellEnd"/>
      <w:r w:rsidRPr="00A50E7E">
        <w:rPr>
          <w:i/>
          <w:color w:val="000000"/>
          <w:lang w:val="id-ID"/>
        </w:rPr>
        <w:t xml:space="preserve"> f </w:t>
      </w:r>
      <w:r w:rsidRPr="00A50E7E">
        <w:rPr>
          <w:color w:val="000000"/>
          <w:lang w:val="id-ID"/>
        </w:rPr>
        <w:t>&lt; nilai α 0,05, maka H</w:t>
      </w:r>
      <w:r w:rsidRPr="00A50E7E">
        <w:rPr>
          <w:color w:val="000000"/>
          <w:vertAlign w:val="subscript"/>
          <w:lang w:val="id-ID"/>
        </w:rPr>
        <w:t>0</w:t>
      </w:r>
      <w:r w:rsidRPr="00A50E7E">
        <w:rPr>
          <w:color w:val="000000"/>
          <w:lang w:val="id-ID"/>
        </w:rPr>
        <w:t xml:space="preserve"> ditolak (FEM).</w:t>
      </w:r>
    </w:p>
    <w:p w14:paraId="7E6BDF71" w14:textId="77777777" w:rsidR="00E634F5" w:rsidRPr="00A50E7E" w:rsidRDefault="00E634F5" w:rsidP="00A159FB">
      <w:pPr>
        <w:spacing w:before="120" w:after="120"/>
        <w:rPr>
          <w:i/>
          <w:color w:val="000000"/>
          <w:lang w:val="id-ID"/>
        </w:rPr>
      </w:pPr>
      <w:r w:rsidRPr="00A50E7E">
        <w:rPr>
          <w:color w:val="000000"/>
          <w:lang w:val="id-ID"/>
        </w:rPr>
        <w:t xml:space="preserve">Dasar pengambilan keputusan </w:t>
      </w:r>
      <w:proofErr w:type="spellStart"/>
      <w:r w:rsidRPr="00A50E7E">
        <w:rPr>
          <w:i/>
          <w:color w:val="000000"/>
          <w:lang w:val="id-ID"/>
        </w:rPr>
        <w:t>hausman</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ialah sebagai berikut:</w:t>
      </w:r>
    </w:p>
    <w:p w14:paraId="0B67F9AD" w14:textId="77777777" w:rsidR="00E634F5" w:rsidRPr="00A50E7E" w:rsidRDefault="00E634F5" w:rsidP="00A159FB">
      <w:pPr>
        <w:numPr>
          <w:ilvl w:val="0"/>
          <w:numId w:val="17"/>
        </w:numPr>
        <w:spacing w:before="120" w:after="120"/>
        <w:ind w:left="360" w:hanging="374"/>
        <w:rPr>
          <w:color w:val="000000"/>
          <w:lang w:val="id-ID"/>
        </w:rPr>
      </w:pPr>
      <w:r w:rsidRPr="00A50E7E">
        <w:rPr>
          <w:color w:val="000000"/>
          <w:lang w:val="id-ID"/>
        </w:rPr>
        <w:t xml:space="preserve">Jika nilai probabilitas </w:t>
      </w:r>
      <w:proofErr w:type="spellStart"/>
      <w:r w:rsidRPr="00A50E7E">
        <w:rPr>
          <w:i/>
          <w:color w:val="000000"/>
          <w:lang w:val="id-ID"/>
        </w:rPr>
        <w:t>cross-section</w:t>
      </w:r>
      <w:proofErr w:type="spellEnd"/>
      <w:r w:rsidRPr="00A50E7E">
        <w:rPr>
          <w:i/>
          <w:color w:val="000000"/>
          <w:lang w:val="id-ID"/>
        </w:rPr>
        <w:t xml:space="preserve"> </w:t>
      </w:r>
      <w:proofErr w:type="spellStart"/>
      <w:r w:rsidRPr="00A50E7E">
        <w:rPr>
          <w:i/>
          <w:color w:val="000000"/>
          <w:lang w:val="id-ID"/>
        </w:rPr>
        <w:t>random</w:t>
      </w:r>
      <w:proofErr w:type="spellEnd"/>
      <w:r w:rsidRPr="00A50E7E">
        <w:rPr>
          <w:i/>
          <w:color w:val="000000"/>
          <w:lang w:val="id-ID"/>
        </w:rPr>
        <w:t xml:space="preserve"> </w:t>
      </w:r>
      <w:r w:rsidRPr="00A50E7E">
        <w:rPr>
          <w:color w:val="000000"/>
          <w:lang w:val="id-ID"/>
        </w:rPr>
        <w:t>&gt; nilai α 0,05, maka H0 diterima (REM).</w:t>
      </w:r>
    </w:p>
    <w:p w14:paraId="2EE20CA2" w14:textId="77777777" w:rsidR="00E634F5" w:rsidRPr="00A50E7E" w:rsidRDefault="00E634F5" w:rsidP="00A159FB">
      <w:pPr>
        <w:numPr>
          <w:ilvl w:val="0"/>
          <w:numId w:val="17"/>
        </w:numPr>
        <w:spacing w:before="120" w:after="120"/>
        <w:ind w:left="360" w:hanging="374"/>
        <w:rPr>
          <w:color w:val="000000"/>
          <w:lang w:val="id-ID"/>
        </w:rPr>
      </w:pPr>
      <w:r w:rsidRPr="00A50E7E">
        <w:rPr>
          <w:color w:val="000000"/>
          <w:lang w:val="id-ID"/>
        </w:rPr>
        <w:t xml:space="preserve">Jika nilai probabilitas </w:t>
      </w:r>
      <w:proofErr w:type="spellStart"/>
      <w:r w:rsidRPr="00A50E7E">
        <w:rPr>
          <w:i/>
          <w:color w:val="000000"/>
          <w:lang w:val="id-ID"/>
        </w:rPr>
        <w:t>cross-section</w:t>
      </w:r>
      <w:proofErr w:type="spellEnd"/>
      <w:r w:rsidRPr="00A50E7E">
        <w:rPr>
          <w:i/>
          <w:color w:val="000000"/>
          <w:lang w:val="id-ID"/>
        </w:rPr>
        <w:t xml:space="preserve"> </w:t>
      </w:r>
      <w:proofErr w:type="spellStart"/>
      <w:r w:rsidRPr="00A50E7E">
        <w:rPr>
          <w:i/>
          <w:color w:val="000000"/>
          <w:lang w:val="id-ID"/>
        </w:rPr>
        <w:t>random</w:t>
      </w:r>
      <w:proofErr w:type="spellEnd"/>
      <w:r w:rsidRPr="00A50E7E">
        <w:rPr>
          <w:i/>
          <w:color w:val="000000"/>
          <w:lang w:val="id-ID"/>
        </w:rPr>
        <w:t xml:space="preserve"> </w:t>
      </w:r>
      <w:r w:rsidRPr="00A50E7E">
        <w:rPr>
          <w:color w:val="000000"/>
          <w:lang w:val="id-ID"/>
        </w:rPr>
        <w:t>&lt; nilai α 0,05, maka H0 ditolak (FEM).</w:t>
      </w:r>
    </w:p>
    <w:p w14:paraId="310B71D4" w14:textId="77777777" w:rsidR="00E634F5" w:rsidRPr="00A50E7E" w:rsidRDefault="00E634F5" w:rsidP="00A159FB">
      <w:pPr>
        <w:spacing w:before="120" w:after="120"/>
        <w:rPr>
          <w:color w:val="000000"/>
          <w:lang w:val="id-ID"/>
        </w:rPr>
      </w:pPr>
      <w:r w:rsidRPr="00A50E7E">
        <w:rPr>
          <w:color w:val="000000"/>
          <w:lang w:val="id-ID"/>
        </w:rPr>
        <w:t xml:space="preserve">Dasar pengambilan keputusan </w:t>
      </w:r>
      <w:proofErr w:type="spellStart"/>
      <w:r w:rsidRPr="00A50E7E">
        <w:rPr>
          <w:i/>
          <w:color w:val="000000"/>
          <w:lang w:val="id-ID"/>
        </w:rPr>
        <w:t>lagrange</w:t>
      </w:r>
      <w:proofErr w:type="spellEnd"/>
      <w:r w:rsidRPr="00A50E7E">
        <w:rPr>
          <w:i/>
          <w:color w:val="000000"/>
          <w:lang w:val="id-ID"/>
        </w:rPr>
        <w:t xml:space="preserve"> </w:t>
      </w:r>
      <w:proofErr w:type="spellStart"/>
      <w:r w:rsidRPr="00A50E7E">
        <w:rPr>
          <w:i/>
          <w:color w:val="000000"/>
          <w:lang w:val="id-ID"/>
        </w:rPr>
        <w:t>multiplier</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ialah sebagai berikut:</w:t>
      </w:r>
    </w:p>
    <w:p w14:paraId="1F1A96BA" w14:textId="77777777" w:rsidR="00E634F5" w:rsidRPr="00A50E7E" w:rsidRDefault="00E634F5" w:rsidP="00A159FB">
      <w:pPr>
        <w:numPr>
          <w:ilvl w:val="0"/>
          <w:numId w:val="18"/>
        </w:numPr>
        <w:spacing w:before="120" w:after="120"/>
        <w:ind w:left="360" w:hanging="374"/>
        <w:rPr>
          <w:color w:val="000000"/>
          <w:lang w:val="id-ID"/>
        </w:rPr>
      </w:pPr>
      <w:r w:rsidRPr="00A50E7E">
        <w:rPr>
          <w:color w:val="000000"/>
          <w:lang w:val="id-ID"/>
        </w:rPr>
        <w:t xml:space="preserve">Jika nilai </w:t>
      </w:r>
      <w:proofErr w:type="spellStart"/>
      <w:r w:rsidRPr="00A50E7E">
        <w:rPr>
          <w:i/>
          <w:color w:val="000000"/>
          <w:lang w:val="id-ID"/>
        </w:rPr>
        <w:t>breusch</w:t>
      </w:r>
      <w:proofErr w:type="spellEnd"/>
      <w:r w:rsidRPr="00A50E7E">
        <w:rPr>
          <w:i/>
          <w:color w:val="000000"/>
          <w:lang w:val="id-ID"/>
        </w:rPr>
        <w:t xml:space="preserve">-pagan </w:t>
      </w:r>
      <w:proofErr w:type="spellStart"/>
      <w:r w:rsidRPr="00A50E7E">
        <w:rPr>
          <w:i/>
          <w:color w:val="000000"/>
          <w:lang w:val="id-ID"/>
        </w:rPr>
        <w:t>cross-section</w:t>
      </w:r>
      <w:proofErr w:type="spellEnd"/>
      <w:r w:rsidRPr="00A50E7E">
        <w:rPr>
          <w:i/>
          <w:color w:val="000000"/>
          <w:lang w:val="id-ID"/>
        </w:rPr>
        <w:t xml:space="preserve"> </w:t>
      </w:r>
      <w:proofErr w:type="spellStart"/>
      <w:r w:rsidRPr="00A50E7E">
        <w:rPr>
          <w:i/>
          <w:color w:val="000000"/>
          <w:lang w:val="id-ID"/>
        </w:rPr>
        <w:t>one-sided</w:t>
      </w:r>
      <w:proofErr w:type="spellEnd"/>
      <w:r w:rsidRPr="00A50E7E">
        <w:rPr>
          <w:i/>
          <w:color w:val="000000"/>
          <w:lang w:val="id-ID"/>
        </w:rPr>
        <w:t xml:space="preserve"> </w:t>
      </w:r>
      <w:r w:rsidRPr="00A50E7E">
        <w:rPr>
          <w:color w:val="000000"/>
          <w:lang w:val="id-ID"/>
        </w:rPr>
        <w:t>&gt; nilai α 0,05, maka H</w:t>
      </w:r>
      <w:r w:rsidRPr="00A50E7E">
        <w:rPr>
          <w:color w:val="000000"/>
          <w:vertAlign w:val="subscript"/>
          <w:lang w:val="id-ID"/>
        </w:rPr>
        <w:t>0</w:t>
      </w:r>
      <w:r w:rsidRPr="00A50E7E">
        <w:rPr>
          <w:color w:val="000000"/>
          <w:lang w:val="id-ID"/>
        </w:rPr>
        <w:t xml:space="preserve"> diterima (CEM).</w:t>
      </w:r>
    </w:p>
    <w:p w14:paraId="5A1526B3" w14:textId="77777777" w:rsidR="008A2590" w:rsidRPr="00A50E7E" w:rsidRDefault="00E634F5" w:rsidP="00A159FB">
      <w:pPr>
        <w:numPr>
          <w:ilvl w:val="0"/>
          <w:numId w:val="18"/>
        </w:numPr>
        <w:spacing w:before="120" w:after="120"/>
        <w:ind w:left="360" w:hanging="374"/>
        <w:rPr>
          <w:color w:val="000000"/>
          <w:lang w:val="id-ID"/>
        </w:rPr>
      </w:pPr>
      <w:r w:rsidRPr="00A50E7E">
        <w:rPr>
          <w:color w:val="000000"/>
          <w:lang w:val="id-ID"/>
        </w:rPr>
        <w:t xml:space="preserve">Jika nilai </w:t>
      </w:r>
      <w:proofErr w:type="spellStart"/>
      <w:r w:rsidRPr="00A50E7E">
        <w:rPr>
          <w:i/>
          <w:color w:val="000000"/>
          <w:lang w:val="id-ID"/>
        </w:rPr>
        <w:t>breusch</w:t>
      </w:r>
      <w:proofErr w:type="spellEnd"/>
      <w:r w:rsidRPr="00A50E7E">
        <w:rPr>
          <w:i/>
          <w:color w:val="000000"/>
          <w:lang w:val="id-ID"/>
        </w:rPr>
        <w:t xml:space="preserve">-pagan </w:t>
      </w:r>
      <w:proofErr w:type="spellStart"/>
      <w:r w:rsidRPr="00A50E7E">
        <w:rPr>
          <w:i/>
          <w:color w:val="000000"/>
          <w:lang w:val="id-ID"/>
        </w:rPr>
        <w:t>cross-section</w:t>
      </w:r>
      <w:proofErr w:type="spellEnd"/>
      <w:r w:rsidRPr="00A50E7E">
        <w:rPr>
          <w:i/>
          <w:color w:val="000000"/>
          <w:lang w:val="id-ID"/>
        </w:rPr>
        <w:t xml:space="preserve"> </w:t>
      </w:r>
      <w:proofErr w:type="spellStart"/>
      <w:r w:rsidRPr="00A50E7E">
        <w:rPr>
          <w:i/>
          <w:color w:val="000000"/>
          <w:lang w:val="id-ID"/>
        </w:rPr>
        <w:t>one-sided</w:t>
      </w:r>
      <w:proofErr w:type="spellEnd"/>
      <w:r w:rsidRPr="00A50E7E">
        <w:rPr>
          <w:i/>
          <w:color w:val="000000"/>
          <w:lang w:val="id-ID"/>
        </w:rPr>
        <w:t xml:space="preserve"> </w:t>
      </w:r>
      <w:r w:rsidRPr="00A50E7E">
        <w:rPr>
          <w:color w:val="000000"/>
          <w:lang w:val="id-ID"/>
        </w:rPr>
        <w:t>&lt; nilai α 0,05, maka H</w:t>
      </w:r>
      <w:r w:rsidRPr="00A50E7E">
        <w:rPr>
          <w:color w:val="000000"/>
          <w:vertAlign w:val="subscript"/>
          <w:lang w:val="id-ID"/>
        </w:rPr>
        <w:t>0</w:t>
      </w:r>
      <w:r w:rsidRPr="00A50E7E">
        <w:rPr>
          <w:color w:val="000000"/>
          <w:lang w:val="id-ID"/>
        </w:rPr>
        <w:t xml:space="preserve"> ditolak (REM).</w:t>
      </w:r>
    </w:p>
    <w:p w14:paraId="787A85A7" w14:textId="77777777" w:rsidR="00E634F5" w:rsidRPr="00A50E7E" w:rsidRDefault="00E634F5" w:rsidP="00A159FB">
      <w:pPr>
        <w:spacing w:before="120" w:after="120"/>
        <w:jc w:val="center"/>
        <w:rPr>
          <w:color w:val="000000"/>
          <w:sz w:val="16"/>
          <w:szCs w:val="18"/>
          <w:lang w:val="id-ID"/>
        </w:rPr>
      </w:pPr>
      <w:r w:rsidRPr="00A50E7E">
        <w:rPr>
          <w:color w:val="000000"/>
          <w:sz w:val="16"/>
          <w:szCs w:val="18"/>
          <w:lang w:val="id-ID"/>
        </w:rPr>
        <w:t>Tabel 2. Pemilihan Model Data Panel</w:t>
      </w:r>
    </w:p>
    <w:tbl>
      <w:tblPr>
        <w:tblW w:w="4476" w:type="dxa"/>
        <w:jc w:val="center"/>
        <w:tblBorders>
          <w:top w:val="single" w:sz="4" w:space="0" w:color="auto"/>
          <w:bottom w:val="single" w:sz="4" w:space="0" w:color="auto"/>
        </w:tblBorders>
        <w:tblLayout w:type="fixed"/>
        <w:tblCellMar>
          <w:left w:w="58" w:type="dxa"/>
          <w:right w:w="58" w:type="dxa"/>
        </w:tblCellMar>
        <w:tblLook w:val="01E0" w:firstRow="1" w:lastRow="1" w:firstColumn="1" w:lastColumn="1" w:noHBand="0" w:noVBand="0"/>
      </w:tblPr>
      <w:tblGrid>
        <w:gridCol w:w="2492"/>
        <w:gridCol w:w="1559"/>
        <w:gridCol w:w="425"/>
      </w:tblGrid>
      <w:tr w:rsidR="008A2590" w:rsidRPr="00A50E7E" w14:paraId="7587E8DB" w14:textId="77777777" w:rsidTr="009772E5">
        <w:trPr>
          <w:trHeight w:val="20"/>
          <w:jc w:val="center"/>
        </w:trPr>
        <w:tc>
          <w:tcPr>
            <w:tcW w:w="2492" w:type="dxa"/>
            <w:tcBorders>
              <w:top w:val="single" w:sz="12" w:space="0" w:color="auto"/>
              <w:bottom w:val="single" w:sz="4" w:space="0" w:color="auto"/>
            </w:tcBorders>
            <w:shd w:val="clear" w:color="auto" w:fill="auto"/>
            <w:vAlign w:val="center"/>
          </w:tcPr>
          <w:p w14:paraId="0F6655B3"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pacing w:val="-2"/>
                <w:sz w:val="16"/>
                <w:szCs w:val="14"/>
                <w:lang w:val="id-ID"/>
              </w:rPr>
              <w:t>Keterangan</w:t>
            </w:r>
          </w:p>
        </w:tc>
        <w:tc>
          <w:tcPr>
            <w:tcW w:w="1559" w:type="dxa"/>
            <w:tcBorders>
              <w:top w:val="single" w:sz="12" w:space="0" w:color="auto"/>
              <w:bottom w:val="single" w:sz="4" w:space="0" w:color="auto"/>
            </w:tcBorders>
            <w:shd w:val="clear" w:color="auto" w:fill="auto"/>
            <w:vAlign w:val="center"/>
          </w:tcPr>
          <w:p w14:paraId="63F27B95" w14:textId="77777777" w:rsidR="008A2590" w:rsidRPr="00A50E7E" w:rsidRDefault="008A2590" w:rsidP="00A159FB">
            <w:pPr>
              <w:widowControl w:val="0"/>
              <w:autoSpaceDE w:val="0"/>
              <w:autoSpaceDN w:val="0"/>
              <w:spacing w:after="0"/>
              <w:ind w:left="5" w:right="2"/>
              <w:jc w:val="right"/>
              <w:rPr>
                <w:rFonts w:eastAsia="Times New Roman"/>
                <w:bCs/>
                <w:i/>
                <w:sz w:val="16"/>
                <w:szCs w:val="14"/>
                <w:lang w:val="id-ID"/>
              </w:rPr>
            </w:pPr>
            <w:proofErr w:type="spellStart"/>
            <w:r w:rsidRPr="00A50E7E">
              <w:rPr>
                <w:rFonts w:eastAsia="Times New Roman"/>
                <w:bCs/>
                <w:i/>
                <w:sz w:val="16"/>
                <w:szCs w:val="14"/>
                <w:lang w:val="id-ID"/>
              </w:rPr>
              <w:t>Prob</w:t>
            </w:r>
            <w:proofErr w:type="spellEnd"/>
            <w:r w:rsidRPr="00A50E7E">
              <w:rPr>
                <w:rFonts w:eastAsia="Times New Roman"/>
                <w:bCs/>
                <w:i/>
                <w:spacing w:val="-5"/>
                <w:sz w:val="16"/>
                <w:szCs w:val="14"/>
                <w:lang w:val="id-ID"/>
              </w:rPr>
              <w:t xml:space="preserve"> </w:t>
            </w:r>
            <w:proofErr w:type="spellStart"/>
            <w:r w:rsidRPr="00A50E7E">
              <w:rPr>
                <w:rFonts w:eastAsia="Times New Roman"/>
                <w:bCs/>
                <w:i/>
                <w:sz w:val="16"/>
                <w:szCs w:val="14"/>
                <w:lang w:val="id-ID"/>
              </w:rPr>
              <w:t>Cross-Section</w:t>
            </w:r>
            <w:proofErr w:type="spellEnd"/>
            <w:r w:rsidRPr="00A50E7E">
              <w:rPr>
                <w:rFonts w:eastAsia="Times New Roman"/>
                <w:bCs/>
                <w:i/>
                <w:spacing w:val="-5"/>
                <w:sz w:val="16"/>
                <w:szCs w:val="14"/>
                <w:lang w:val="id-ID"/>
              </w:rPr>
              <w:t xml:space="preserve"> </w:t>
            </w:r>
            <w:r w:rsidRPr="00A50E7E">
              <w:rPr>
                <w:rFonts w:eastAsia="Times New Roman"/>
                <w:bCs/>
                <w:i/>
                <w:spacing w:val="-10"/>
                <w:sz w:val="16"/>
                <w:szCs w:val="14"/>
                <w:lang w:val="id-ID"/>
              </w:rPr>
              <w:t>F</w:t>
            </w:r>
          </w:p>
        </w:tc>
        <w:tc>
          <w:tcPr>
            <w:tcW w:w="425" w:type="dxa"/>
            <w:tcBorders>
              <w:top w:val="single" w:sz="12" w:space="0" w:color="auto"/>
              <w:bottom w:val="single" w:sz="4" w:space="0" w:color="auto"/>
            </w:tcBorders>
            <w:shd w:val="clear" w:color="auto" w:fill="auto"/>
            <w:vAlign w:val="center"/>
          </w:tcPr>
          <w:p w14:paraId="687BEEE0" w14:textId="77777777" w:rsidR="008A2590" w:rsidRPr="00A50E7E" w:rsidRDefault="008A2590" w:rsidP="00A159FB">
            <w:pPr>
              <w:widowControl w:val="0"/>
              <w:autoSpaceDE w:val="0"/>
              <w:autoSpaceDN w:val="0"/>
              <w:spacing w:after="0"/>
              <w:ind w:left="1"/>
              <w:jc w:val="right"/>
              <w:rPr>
                <w:rFonts w:eastAsia="Times New Roman"/>
                <w:bCs/>
                <w:sz w:val="16"/>
                <w:szCs w:val="14"/>
                <w:lang w:val="id-ID"/>
              </w:rPr>
            </w:pPr>
            <w:r w:rsidRPr="00A50E7E">
              <w:rPr>
                <w:rFonts w:eastAsia="Times New Roman"/>
                <w:bCs/>
                <w:spacing w:val="-10"/>
                <w:sz w:val="16"/>
                <w:szCs w:val="14"/>
                <w:lang w:val="id-ID"/>
              </w:rPr>
              <w:t>α</w:t>
            </w:r>
          </w:p>
        </w:tc>
      </w:tr>
      <w:tr w:rsidR="008A2590" w:rsidRPr="00A50E7E" w14:paraId="4E58FD2F" w14:textId="77777777" w:rsidTr="00A159FB">
        <w:trPr>
          <w:trHeight w:val="20"/>
          <w:jc w:val="center"/>
        </w:trPr>
        <w:tc>
          <w:tcPr>
            <w:tcW w:w="2492" w:type="dxa"/>
            <w:tcBorders>
              <w:top w:val="single" w:sz="4" w:space="0" w:color="auto"/>
            </w:tcBorders>
            <w:shd w:val="clear" w:color="auto" w:fill="auto"/>
            <w:vAlign w:val="center"/>
          </w:tcPr>
          <w:p w14:paraId="79FCFF75" w14:textId="77777777" w:rsidR="008A2590" w:rsidRPr="00A50E7E" w:rsidRDefault="008A2590" w:rsidP="00A159FB">
            <w:pPr>
              <w:widowControl w:val="0"/>
              <w:autoSpaceDE w:val="0"/>
              <w:autoSpaceDN w:val="0"/>
              <w:spacing w:before="3" w:after="0"/>
              <w:rPr>
                <w:rFonts w:eastAsia="Times New Roman"/>
                <w:bCs/>
                <w:sz w:val="16"/>
                <w:szCs w:val="14"/>
                <w:lang w:val="id-ID"/>
              </w:rPr>
            </w:pPr>
            <w:proofErr w:type="spellStart"/>
            <w:r w:rsidRPr="00A50E7E">
              <w:rPr>
                <w:rFonts w:eastAsia="Times New Roman"/>
                <w:bCs/>
                <w:i/>
                <w:sz w:val="16"/>
                <w:szCs w:val="14"/>
                <w:lang w:val="id-ID"/>
              </w:rPr>
              <w:t>Chow</w:t>
            </w:r>
            <w:proofErr w:type="spellEnd"/>
            <w:r w:rsidRPr="00A50E7E">
              <w:rPr>
                <w:rFonts w:eastAsia="Times New Roman"/>
                <w:bCs/>
                <w:i/>
                <w:spacing w:val="-1"/>
                <w:sz w:val="16"/>
                <w:szCs w:val="14"/>
                <w:lang w:val="id-ID"/>
              </w:rPr>
              <w:t xml:space="preserve"> </w:t>
            </w:r>
            <w:proofErr w:type="spellStart"/>
            <w:r w:rsidRPr="00A50E7E">
              <w:rPr>
                <w:rFonts w:eastAsia="Times New Roman"/>
                <w:bCs/>
                <w:i/>
                <w:sz w:val="16"/>
                <w:szCs w:val="14"/>
                <w:lang w:val="id-ID"/>
              </w:rPr>
              <w:t>Test</w:t>
            </w:r>
            <w:proofErr w:type="spellEnd"/>
            <w:r w:rsidRPr="00A50E7E">
              <w:rPr>
                <w:rFonts w:eastAsia="Times New Roman"/>
                <w:bCs/>
                <w:i/>
                <w:spacing w:val="1"/>
                <w:sz w:val="16"/>
                <w:szCs w:val="14"/>
                <w:lang w:val="id-ID"/>
              </w:rPr>
              <w:t xml:space="preserve"> </w:t>
            </w:r>
            <w:r w:rsidRPr="00A50E7E">
              <w:rPr>
                <w:rFonts w:eastAsia="Times New Roman"/>
                <w:bCs/>
                <w:sz w:val="16"/>
                <w:szCs w:val="14"/>
                <w:lang w:val="id-ID"/>
              </w:rPr>
              <w:t>(CEM</w:t>
            </w:r>
            <w:r w:rsidRPr="00A50E7E">
              <w:rPr>
                <w:rFonts w:eastAsia="Times New Roman"/>
                <w:bCs/>
                <w:spacing w:val="-2"/>
                <w:sz w:val="16"/>
                <w:szCs w:val="14"/>
                <w:lang w:val="id-ID"/>
              </w:rPr>
              <w:t xml:space="preserve"> </w:t>
            </w:r>
            <w:r w:rsidRPr="00A50E7E">
              <w:rPr>
                <w:rFonts w:eastAsia="Times New Roman"/>
                <w:bCs/>
                <w:sz w:val="16"/>
                <w:szCs w:val="14"/>
                <w:lang w:val="id-ID"/>
              </w:rPr>
              <w:t>vs</w:t>
            </w:r>
            <w:r w:rsidRPr="00A50E7E">
              <w:rPr>
                <w:rFonts w:eastAsia="Times New Roman"/>
                <w:bCs/>
                <w:spacing w:val="-2"/>
                <w:sz w:val="16"/>
                <w:szCs w:val="14"/>
                <w:lang w:val="id-ID"/>
              </w:rPr>
              <w:t xml:space="preserve"> </w:t>
            </w:r>
            <w:r w:rsidRPr="00A50E7E">
              <w:rPr>
                <w:rFonts w:eastAsia="Times New Roman"/>
                <w:bCs/>
                <w:spacing w:val="-4"/>
                <w:sz w:val="16"/>
                <w:szCs w:val="14"/>
                <w:lang w:val="id-ID"/>
              </w:rPr>
              <w:t>FEM)</w:t>
            </w:r>
          </w:p>
        </w:tc>
        <w:tc>
          <w:tcPr>
            <w:tcW w:w="1559" w:type="dxa"/>
            <w:tcBorders>
              <w:top w:val="single" w:sz="4" w:space="0" w:color="auto"/>
            </w:tcBorders>
            <w:shd w:val="clear" w:color="auto" w:fill="auto"/>
            <w:vAlign w:val="center"/>
          </w:tcPr>
          <w:p w14:paraId="79E12CE7" w14:textId="5BC2E004" w:rsidR="008A2590" w:rsidRPr="00A50E7E" w:rsidRDefault="008A2590" w:rsidP="00A159FB">
            <w:pPr>
              <w:widowControl w:val="0"/>
              <w:autoSpaceDE w:val="0"/>
              <w:autoSpaceDN w:val="0"/>
              <w:spacing w:before="3" w:after="0"/>
              <w:ind w:left="5" w:right="444"/>
              <w:jc w:val="right"/>
              <w:rPr>
                <w:rFonts w:eastAsia="Times New Roman"/>
                <w:bCs/>
                <w:sz w:val="16"/>
                <w:szCs w:val="14"/>
              </w:rPr>
            </w:pPr>
            <w:r w:rsidRPr="00A50E7E">
              <w:rPr>
                <w:rFonts w:eastAsia="Times New Roman"/>
                <w:bCs/>
                <w:spacing w:val="-2"/>
                <w:sz w:val="16"/>
                <w:szCs w:val="14"/>
                <w:lang w:val="id-ID"/>
              </w:rPr>
              <w:t>0,000</w:t>
            </w:r>
            <w:r w:rsidR="00A159FB" w:rsidRPr="00A50E7E">
              <w:rPr>
                <w:rFonts w:eastAsia="Times New Roman"/>
                <w:bCs/>
                <w:spacing w:val="-2"/>
                <w:sz w:val="16"/>
                <w:szCs w:val="14"/>
              </w:rPr>
              <w:t>0</w:t>
            </w:r>
          </w:p>
        </w:tc>
        <w:tc>
          <w:tcPr>
            <w:tcW w:w="425" w:type="dxa"/>
            <w:tcBorders>
              <w:top w:val="single" w:sz="4" w:space="0" w:color="auto"/>
            </w:tcBorders>
            <w:shd w:val="clear" w:color="auto" w:fill="auto"/>
            <w:vAlign w:val="center"/>
          </w:tcPr>
          <w:p w14:paraId="4E848E6E" w14:textId="77777777" w:rsidR="008A2590" w:rsidRPr="00A50E7E" w:rsidRDefault="008A2590" w:rsidP="00A159FB">
            <w:pPr>
              <w:widowControl w:val="0"/>
              <w:autoSpaceDE w:val="0"/>
              <w:autoSpaceDN w:val="0"/>
              <w:spacing w:before="3" w:after="0"/>
              <w:ind w:left="1" w:right="1"/>
              <w:jc w:val="right"/>
              <w:rPr>
                <w:rFonts w:eastAsia="Times New Roman"/>
                <w:bCs/>
                <w:sz w:val="16"/>
                <w:szCs w:val="14"/>
                <w:lang w:val="id-ID"/>
              </w:rPr>
            </w:pPr>
            <w:r w:rsidRPr="00A50E7E">
              <w:rPr>
                <w:rFonts w:eastAsia="Times New Roman"/>
                <w:bCs/>
                <w:spacing w:val="-4"/>
                <w:sz w:val="16"/>
                <w:szCs w:val="14"/>
                <w:lang w:val="id-ID"/>
              </w:rPr>
              <w:t>0,05</w:t>
            </w:r>
          </w:p>
        </w:tc>
      </w:tr>
      <w:tr w:rsidR="008A2590" w:rsidRPr="00A50E7E" w14:paraId="77AF79AA" w14:textId="77777777" w:rsidTr="00A159FB">
        <w:trPr>
          <w:trHeight w:val="20"/>
          <w:jc w:val="center"/>
        </w:trPr>
        <w:tc>
          <w:tcPr>
            <w:tcW w:w="2492" w:type="dxa"/>
            <w:shd w:val="clear" w:color="auto" w:fill="auto"/>
            <w:vAlign w:val="center"/>
          </w:tcPr>
          <w:p w14:paraId="46F5CB24" w14:textId="77777777" w:rsidR="008A2590" w:rsidRPr="00A50E7E" w:rsidRDefault="008A2590" w:rsidP="00A159FB">
            <w:pPr>
              <w:widowControl w:val="0"/>
              <w:autoSpaceDE w:val="0"/>
              <w:autoSpaceDN w:val="0"/>
              <w:spacing w:after="0"/>
              <w:rPr>
                <w:rFonts w:eastAsia="Times New Roman"/>
                <w:bCs/>
                <w:sz w:val="16"/>
                <w:szCs w:val="14"/>
                <w:lang w:val="id-ID"/>
              </w:rPr>
            </w:pPr>
            <w:proofErr w:type="spellStart"/>
            <w:r w:rsidRPr="00A50E7E">
              <w:rPr>
                <w:rFonts w:eastAsia="Times New Roman"/>
                <w:bCs/>
                <w:i/>
                <w:sz w:val="16"/>
                <w:szCs w:val="14"/>
                <w:lang w:val="id-ID"/>
              </w:rPr>
              <w:t>Hausman</w:t>
            </w:r>
            <w:proofErr w:type="spellEnd"/>
            <w:r w:rsidRPr="00A50E7E">
              <w:rPr>
                <w:rFonts w:eastAsia="Times New Roman"/>
                <w:bCs/>
                <w:i/>
                <w:spacing w:val="-2"/>
                <w:sz w:val="16"/>
                <w:szCs w:val="14"/>
                <w:lang w:val="id-ID"/>
              </w:rPr>
              <w:t xml:space="preserve"> </w:t>
            </w:r>
            <w:proofErr w:type="spellStart"/>
            <w:r w:rsidRPr="00A50E7E">
              <w:rPr>
                <w:rFonts w:eastAsia="Times New Roman"/>
                <w:bCs/>
                <w:i/>
                <w:sz w:val="16"/>
                <w:szCs w:val="14"/>
                <w:lang w:val="id-ID"/>
              </w:rPr>
              <w:t>Test</w:t>
            </w:r>
            <w:proofErr w:type="spellEnd"/>
            <w:r w:rsidRPr="00A50E7E">
              <w:rPr>
                <w:rFonts w:eastAsia="Times New Roman"/>
                <w:bCs/>
                <w:i/>
                <w:spacing w:val="-1"/>
                <w:sz w:val="16"/>
                <w:szCs w:val="14"/>
                <w:lang w:val="id-ID"/>
              </w:rPr>
              <w:t xml:space="preserve"> </w:t>
            </w:r>
            <w:r w:rsidRPr="00A50E7E">
              <w:rPr>
                <w:rFonts w:eastAsia="Times New Roman"/>
                <w:bCs/>
                <w:sz w:val="16"/>
                <w:szCs w:val="14"/>
                <w:lang w:val="id-ID"/>
              </w:rPr>
              <w:t>(REM</w:t>
            </w:r>
            <w:r w:rsidRPr="00A50E7E">
              <w:rPr>
                <w:rFonts w:eastAsia="Times New Roman"/>
                <w:bCs/>
                <w:spacing w:val="-3"/>
                <w:sz w:val="16"/>
                <w:szCs w:val="14"/>
                <w:lang w:val="id-ID"/>
              </w:rPr>
              <w:t xml:space="preserve"> </w:t>
            </w:r>
            <w:r w:rsidRPr="00A50E7E">
              <w:rPr>
                <w:rFonts w:eastAsia="Times New Roman"/>
                <w:bCs/>
                <w:sz w:val="16"/>
                <w:szCs w:val="14"/>
                <w:lang w:val="id-ID"/>
              </w:rPr>
              <w:t xml:space="preserve">vs </w:t>
            </w:r>
            <w:r w:rsidRPr="00A50E7E">
              <w:rPr>
                <w:rFonts w:eastAsia="Times New Roman"/>
                <w:bCs/>
                <w:spacing w:val="-4"/>
                <w:sz w:val="16"/>
                <w:szCs w:val="14"/>
                <w:lang w:val="id-ID"/>
              </w:rPr>
              <w:t>FEM)</w:t>
            </w:r>
          </w:p>
        </w:tc>
        <w:tc>
          <w:tcPr>
            <w:tcW w:w="1559" w:type="dxa"/>
            <w:shd w:val="clear" w:color="auto" w:fill="auto"/>
            <w:vAlign w:val="center"/>
          </w:tcPr>
          <w:p w14:paraId="5E7F0077" w14:textId="77777777" w:rsidR="008A2590" w:rsidRPr="00A50E7E" w:rsidRDefault="008A2590" w:rsidP="00A159FB">
            <w:pPr>
              <w:widowControl w:val="0"/>
              <w:autoSpaceDE w:val="0"/>
              <w:autoSpaceDN w:val="0"/>
              <w:spacing w:after="0"/>
              <w:ind w:left="5" w:right="444"/>
              <w:jc w:val="right"/>
              <w:rPr>
                <w:rFonts w:eastAsia="Times New Roman"/>
                <w:bCs/>
                <w:sz w:val="16"/>
                <w:szCs w:val="14"/>
                <w:lang w:val="id-ID"/>
              </w:rPr>
            </w:pPr>
            <w:r w:rsidRPr="00A50E7E">
              <w:rPr>
                <w:rFonts w:eastAsia="Times New Roman"/>
                <w:bCs/>
                <w:spacing w:val="-2"/>
                <w:sz w:val="16"/>
                <w:szCs w:val="14"/>
                <w:lang w:val="id-ID"/>
              </w:rPr>
              <w:t>0,9606</w:t>
            </w:r>
          </w:p>
        </w:tc>
        <w:tc>
          <w:tcPr>
            <w:tcW w:w="425" w:type="dxa"/>
            <w:shd w:val="clear" w:color="auto" w:fill="auto"/>
            <w:vAlign w:val="center"/>
          </w:tcPr>
          <w:p w14:paraId="4941ADA5" w14:textId="77777777" w:rsidR="008A2590" w:rsidRPr="00A50E7E" w:rsidRDefault="008A2590" w:rsidP="00A159FB">
            <w:pPr>
              <w:widowControl w:val="0"/>
              <w:autoSpaceDE w:val="0"/>
              <w:autoSpaceDN w:val="0"/>
              <w:spacing w:after="0"/>
              <w:ind w:left="1" w:right="1"/>
              <w:jc w:val="right"/>
              <w:rPr>
                <w:rFonts w:eastAsia="Times New Roman"/>
                <w:bCs/>
                <w:sz w:val="16"/>
                <w:szCs w:val="14"/>
                <w:lang w:val="id-ID"/>
              </w:rPr>
            </w:pPr>
            <w:r w:rsidRPr="00A50E7E">
              <w:rPr>
                <w:rFonts w:eastAsia="Times New Roman"/>
                <w:bCs/>
                <w:spacing w:val="-4"/>
                <w:sz w:val="16"/>
                <w:szCs w:val="14"/>
                <w:lang w:val="id-ID"/>
              </w:rPr>
              <w:t>0,05</w:t>
            </w:r>
          </w:p>
        </w:tc>
      </w:tr>
      <w:tr w:rsidR="008A2590" w:rsidRPr="00A50E7E" w14:paraId="78EE1D60" w14:textId="77777777" w:rsidTr="00A159FB">
        <w:trPr>
          <w:trHeight w:val="20"/>
          <w:jc w:val="center"/>
        </w:trPr>
        <w:tc>
          <w:tcPr>
            <w:tcW w:w="2492" w:type="dxa"/>
            <w:shd w:val="clear" w:color="auto" w:fill="auto"/>
            <w:vAlign w:val="center"/>
          </w:tcPr>
          <w:p w14:paraId="21DB7016" w14:textId="77777777" w:rsidR="008A2590" w:rsidRPr="00A50E7E" w:rsidRDefault="008A2590" w:rsidP="00A159FB">
            <w:pPr>
              <w:widowControl w:val="0"/>
              <w:autoSpaceDE w:val="0"/>
              <w:autoSpaceDN w:val="0"/>
              <w:spacing w:before="3" w:after="0"/>
              <w:rPr>
                <w:rFonts w:eastAsia="Times New Roman"/>
                <w:bCs/>
                <w:sz w:val="16"/>
                <w:szCs w:val="14"/>
                <w:lang w:val="id-ID"/>
              </w:rPr>
            </w:pPr>
            <w:proofErr w:type="spellStart"/>
            <w:r w:rsidRPr="00A50E7E">
              <w:rPr>
                <w:rFonts w:eastAsia="Times New Roman"/>
                <w:bCs/>
                <w:i/>
                <w:sz w:val="16"/>
                <w:szCs w:val="14"/>
                <w:lang w:val="id-ID"/>
              </w:rPr>
              <w:t>Lagrange</w:t>
            </w:r>
            <w:proofErr w:type="spellEnd"/>
            <w:r w:rsidRPr="00A50E7E">
              <w:rPr>
                <w:rFonts w:eastAsia="Times New Roman"/>
                <w:bCs/>
                <w:i/>
                <w:spacing w:val="-1"/>
                <w:sz w:val="16"/>
                <w:szCs w:val="14"/>
                <w:lang w:val="id-ID"/>
              </w:rPr>
              <w:t xml:space="preserve"> </w:t>
            </w:r>
            <w:proofErr w:type="spellStart"/>
            <w:r w:rsidRPr="00A50E7E">
              <w:rPr>
                <w:rFonts w:eastAsia="Times New Roman"/>
                <w:bCs/>
                <w:i/>
                <w:sz w:val="16"/>
                <w:szCs w:val="14"/>
                <w:lang w:val="id-ID"/>
              </w:rPr>
              <w:t>Multiplier</w:t>
            </w:r>
            <w:proofErr w:type="spellEnd"/>
            <w:r w:rsidRPr="00A50E7E">
              <w:rPr>
                <w:rFonts w:eastAsia="Times New Roman"/>
                <w:bCs/>
                <w:i/>
                <w:sz w:val="16"/>
                <w:szCs w:val="14"/>
                <w:lang w:val="id-ID"/>
              </w:rPr>
              <w:t xml:space="preserve"> </w:t>
            </w:r>
            <w:r w:rsidRPr="00A50E7E">
              <w:rPr>
                <w:rFonts w:eastAsia="Times New Roman"/>
                <w:bCs/>
                <w:sz w:val="16"/>
                <w:szCs w:val="14"/>
                <w:lang w:val="id-ID"/>
              </w:rPr>
              <w:t>(CEM</w:t>
            </w:r>
            <w:r w:rsidRPr="00A50E7E">
              <w:rPr>
                <w:rFonts w:eastAsia="Times New Roman"/>
                <w:bCs/>
                <w:spacing w:val="-3"/>
                <w:sz w:val="16"/>
                <w:szCs w:val="14"/>
                <w:lang w:val="id-ID"/>
              </w:rPr>
              <w:t xml:space="preserve"> </w:t>
            </w:r>
            <w:r w:rsidRPr="00A50E7E">
              <w:rPr>
                <w:rFonts w:eastAsia="Times New Roman"/>
                <w:bCs/>
                <w:sz w:val="16"/>
                <w:szCs w:val="14"/>
                <w:lang w:val="id-ID"/>
              </w:rPr>
              <w:t>vs</w:t>
            </w:r>
            <w:r w:rsidRPr="00A50E7E">
              <w:rPr>
                <w:rFonts w:eastAsia="Times New Roman"/>
                <w:bCs/>
                <w:spacing w:val="-2"/>
                <w:sz w:val="16"/>
                <w:szCs w:val="14"/>
                <w:lang w:val="id-ID"/>
              </w:rPr>
              <w:t xml:space="preserve"> </w:t>
            </w:r>
            <w:r w:rsidRPr="00A50E7E">
              <w:rPr>
                <w:rFonts w:eastAsia="Times New Roman"/>
                <w:bCs/>
                <w:spacing w:val="-4"/>
                <w:sz w:val="16"/>
                <w:szCs w:val="14"/>
                <w:lang w:val="id-ID"/>
              </w:rPr>
              <w:t>REM)</w:t>
            </w:r>
          </w:p>
        </w:tc>
        <w:tc>
          <w:tcPr>
            <w:tcW w:w="1559" w:type="dxa"/>
            <w:shd w:val="clear" w:color="auto" w:fill="auto"/>
            <w:vAlign w:val="center"/>
          </w:tcPr>
          <w:p w14:paraId="7A67C33F" w14:textId="5E18E1C0" w:rsidR="008A2590" w:rsidRPr="00A50E7E" w:rsidRDefault="008A2590" w:rsidP="00A159FB">
            <w:pPr>
              <w:widowControl w:val="0"/>
              <w:autoSpaceDE w:val="0"/>
              <w:autoSpaceDN w:val="0"/>
              <w:spacing w:before="3" w:after="0"/>
              <w:ind w:left="5" w:right="444"/>
              <w:jc w:val="right"/>
              <w:rPr>
                <w:rFonts w:eastAsia="Times New Roman"/>
                <w:bCs/>
                <w:sz w:val="16"/>
                <w:szCs w:val="14"/>
              </w:rPr>
            </w:pPr>
            <w:r w:rsidRPr="00A50E7E">
              <w:rPr>
                <w:rFonts w:eastAsia="Times New Roman"/>
                <w:bCs/>
                <w:spacing w:val="-2"/>
                <w:sz w:val="16"/>
                <w:szCs w:val="14"/>
                <w:lang w:val="id-ID"/>
              </w:rPr>
              <w:t>0,000</w:t>
            </w:r>
            <w:r w:rsidR="00A159FB" w:rsidRPr="00A50E7E">
              <w:rPr>
                <w:rFonts w:eastAsia="Times New Roman"/>
                <w:bCs/>
                <w:spacing w:val="-2"/>
                <w:sz w:val="16"/>
                <w:szCs w:val="14"/>
              </w:rPr>
              <w:t>0</w:t>
            </w:r>
          </w:p>
        </w:tc>
        <w:tc>
          <w:tcPr>
            <w:tcW w:w="425" w:type="dxa"/>
            <w:shd w:val="clear" w:color="auto" w:fill="auto"/>
            <w:vAlign w:val="center"/>
          </w:tcPr>
          <w:p w14:paraId="79BA3E1F" w14:textId="77777777" w:rsidR="008A2590" w:rsidRPr="00A50E7E" w:rsidRDefault="008A2590" w:rsidP="00A159FB">
            <w:pPr>
              <w:widowControl w:val="0"/>
              <w:autoSpaceDE w:val="0"/>
              <w:autoSpaceDN w:val="0"/>
              <w:spacing w:before="3" w:after="0"/>
              <w:ind w:left="1" w:right="1"/>
              <w:jc w:val="right"/>
              <w:rPr>
                <w:rFonts w:eastAsia="Times New Roman"/>
                <w:bCs/>
                <w:sz w:val="16"/>
                <w:szCs w:val="14"/>
                <w:lang w:val="id-ID"/>
              </w:rPr>
            </w:pPr>
            <w:r w:rsidRPr="00A50E7E">
              <w:rPr>
                <w:rFonts w:eastAsia="Times New Roman"/>
                <w:bCs/>
                <w:spacing w:val="-4"/>
                <w:sz w:val="16"/>
                <w:szCs w:val="14"/>
                <w:lang w:val="id-ID"/>
              </w:rPr>
              <w:t>0,05</w:t>
            </w:r>
          </w:p>
        </w:tc>
      </w:tr>
    </w:tbl>
    <w:p w14:paraId="6401A4CE" w14:textId="77777777" w:rsidR="00E634F5" w:rsidRPr="00A50E7E" w:rsidRDefault="00E634F5" w:rsidP="00DD60E7">
      <w:pPr>
        <w:spacing w:before="120" w:after="120"/>
        <w:rPr>
          <w:color w:val="000000"/>
          <w:lang w:val="id-ID"/>
        </w:rPr>
      </w:pPr>
      <w:r w:rsidRPr="00A50E7E">
        <w:rPr>
          <w:color w:val="000000"/>
          <w:lang w:val="id-ID"/>
        </w:rPr>
        <w:t xml:space="preserve">Berdasarkan hasil uji pemilihan model data panel, </w:t>
      </w:r>
      <w:proofErr w:type="spellStart"/>
      <w:r w:rsidRPr="00A50E7E">
        <w:rPr>
          <w:i/>
          <w:color w:val="000000"/>
          <w:lang w:val="id-ID"/>
        </w:rPr>
        <w:t>Chow</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 xml:space="preserve">menunjukkan probabilitas sebesar 0,000 yang lebih kecil dari taraf signifikansi 0,05, sehingga model </w:t>
      </w:r>
      <w:proofErr w:type="spellStart"/>
      <w:r w:rsidRPr="00A50E7E">
        <w:rPr>
          <w:i/>
          <w:color w:val="000000"/>
          <w:lang w:val="id-ID"/>
        </w:rPr>
        <w:t>Fixed</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w:t>
      </w:r>
      <w:r w:rsidRPr="00A50E7E">
        <w:rPr>
          <w:color w:val="000000"/>
          <w:lang w:val="id-ID"/>
        </w:rPr>
        <w:t xml:space="preserve">(FEM) lebih tepat dibandingkan </w:t>
      </w:r>
      <w:proofErr w:type="spellStart"/>
      <w:r w:rsidRPr="00A50E7E">
        <w:rPr>
          <w:i/>
          <w:color w:val="000000"/>
          <w:lang w:val="id-ID"/>
        </w:rPr>
        <w:t>Common</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Model </w:t>
      </w:r>
      <w:r w:rsidRPr="00A50E7E">
        <w:rPr>
          <w:color w:val="000000"/>
          <w:lang w:val="id-ID"/>
        </w:rPr>
        <w:t xml:space="preserve">(CEM). Namun, hasil </w:t>
      </w:r>
      <w:proofErr w:type="spellStart"/>
      <w:r w:rsidRPr="00A50E7E">
        <w:rPr>
          <w:i/>
          <w:color w:val="000000"/>
          <w:lang w:val="id-ID"/>
        </w:rPr>
        <w:t>Hausman</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 xml:space="preserve">dengan probabilitas 0,9606 yang lebih besar dari 0,05 mengindikasikan bahwa model </w:t>
      </w:r>
      <w:proofErr w:type="spellStart"/>
      <w:r w:rsidRPr="00A50E7E">
        <w:rPr>
          <w:i/>
          <w:color w:val="000000"/>
          <w:lang w:val="id-ID"/>
        </w:rPr>
        <w:t>Random</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w:t>
      </w:r>
      <w:r w:rsidRPr="00A50E7E">
        <w:rPr>
          <w:color w:val="000000"/>
          <w:lang w:val="id-ID"/>
        </w:rPr>
        <w:t xml:space="preserve">(REM) lebih sesuai dibandingkan FEM. Selanjutnya, </w:t>
      </w:r>
      <w:proofErr w:type="spellStart"/>
      <w:r w:rsidRPr="00A50E7E">
        <w:rPr>
          <w:i/>
          <w:color w:val="000000"/>
          <w:lang w:val="id-ID"/>
        </w:rPr>
        <w:t>Lagrange</w:t>
      </w:r>
      <w:proofErr w:type="spellEnd"/>
      <w:r w:rsidRPr="00A50E7E">
        <w:rPr>
          <w:i/>
          <w:color w:val="000000"/>
          <w:lang w:val="id-ID"/>
        </w:rPr>
        <w:t xml:space="preserve"> </w:t>
      </w:r>
      <w:proofErr w:type="spellStart"/>
      <w:r w:rsidRPr="00A50E7E">
        <w:rPr>
          <w:i/>
          <w:color w:val="000000"/>
          <w:lang w:val="id-ID"/>
        </w:rPr>
        <w:t>Multiplier</w:t>
      </w:r>
      <w:proofErr w:type="spellEnd"/>
      <w:r w:rsidRPr="00A50E7E">
        <w:rPr>
          <w:i/>
          <w:color w:val="000000"/>
          <w:lang w:val="id-ID"/>
        </w:rPr>
        <w:t xml:space="preserve"> </w:t>
      </w:r>
      <w:proofErr w:type="spellStart"/>
      <w:r w:rsidRPr="00A50E7E">
        <w:rPr>
          <w:i/>
          <w:color w:val="000000"/>
          <w:lang w:val="id-ID"/>
        </w:rPr>
        <w:t>Test</w:t>
      </w:r>
      <w:proofErr w:type="spellEnd"/>
      <w:r w:rsidRPr="00A50E7E">
        <w:rPr>
          <w:i/>
          <w:color w:val="000000"/>
          <w:lang w:val="id-ID"/>
        </w:rPr>
        <w:t xml:space="preserve"> </w:t>
      </w:r>
      <w:r w:rsidRPr="00A50E7E">
        <w:rPr>
          <w:color w:val="000000"/>
          <w:lang w:val="id-ID"/>
        </w:rPr>
        <w:t xml:space="preserve">menghasilkan probabilitas 0,000 yang menolak hipotesis model CEM, sehingga REM juga lebih tepat dibandingkan CEM. Dengan mempertimbangkan ketiga uji tersebut, model </w:t>
      </w:r>
      <w:proofErr w:type="spellStart"/>
      <w:r w:rsidRPr="00A50E7E">
        <w:rPr>
          <w:i/>
          <w:color w:val="000000"/>
          <w:lang w:val="id-ID"/>
        </w:rPr>
        <w:t>Random</w:t>
      </w:r>
      <w:proofErr w:type="spellEnd"/>
      <w:r w:rsidRPr="00A50E7E">
        <w:rPr>
          <w:i/>
          <w:color w:val="000000"/>
          <w:lang w:val="id-ID"/>
        </w:rPr>
        <w:t xml:space="preserve"> </w:t>
      </w:r>
      <w:proofErr w:type="spellStart"/>
      <w:r w:rsidRPr="00A50E7E">
        <w:rPr>
          <w:i/>
          <w:color w:val="000000"/>
          <w:lang w:val="id-ID"/>
        </w:rPr>
        <w:t>Effect</w:t>
      </w:r>
      <w:proofErr w:type="spellEnd"/>
      <w:r w:rsidRPr="00A50E7E">
        <w:rPr>
          <w:i/>
          <w:color w:val="000000"/>
          <w:lang w:val="id-ID"/>
        </w:rPr>
        <w:t xml:space="preserve"> </w:t>
      </w:r>
      <w:r w:rsidRPr="00A50E7E">
        <w:rPr>
          <w:color w:val="000000"/>
          <w:lang w:val="id-ID"/>
        </w:rPr>
        <w:t>(REM) dipilih sebagai model terbaik untuk analisis data panel dalam penelitian ini.</w:t>
      </w:r>
    </w:p>
    <w:p w14:paraId="2E1C7091" w14:textId="07C0B475" w:rsidR="00E634F5" w:rsidRPr="00A50E7E" w:rsidRDefault="00E634F5" w:rsidP="00DD60E7">
      <w:pPr>
        <w:numPr>
          <w:ilvl w:val="0"/>
          <w:numId w:val="13"/>
        </w:numPr>
        <w:spacing w:before="120" w:after="120"/>
        <w:ind w:left="426" w:hanging="426"/>
        <w:rPr>
          <w:color w:val="000000"/>
          <w:lang w:val="id-ID"/>
        </w:rPr>
      </w:pPr>
      <w:r w:rsidRPr="00A50E7E">
        <w:rPr>
          <w:color w:val="000000"/>
          <w:lang w:val="id-ID"/>
        </w:rPr>
        <w:t xml:space="preserve">Hasil Analisis Regresi </w:t>
      </w:r>
      <w:r w:rsidR="00A159FB" w:rsidRPr="00A50E7E">
        <w:rPr>
          <w:color w:val="000000"/>
          <w:lang w:val="id-ID"/>
        </w:rPr>
        <w:t>Linear</w:t>
      </w:r>
      <w:r w:rsidRPr="00A50E7E">
        <w:rPr>
          <w:color w:val="000000"/>
          <w:lang w:val="id-ID"/>
        </w:rPr>
        <w:t xml:space="preserve"> Berganda</w:t>
      </w:r>
    </w:p>
    <w:p w14:paraId="14173C93" w14:textId="76AE5A92" w:rsidR="00E634F5" w:rsidRPr="00A50E7E" w:rsidRDefault="001C284F" w:rsidP="00DD60E7">
      <w:pPr>
        <w:spacing w:before="120" w:after="120"/>
        <w:rPr>
          <w:color w:val="000000"/>
        </w:rPr>
      </w:pPr>
      <w:r w:rsidRPr="00A50E7E">
        <w:rPr>
          <w:color w:val="000000"/>
          <w:lang w:val="id-ID"/>
        </w:rPr>
        <w:t xml:space="preserve">Berdasarkan hasil pemilihan model data panel, penelitian ini menggunakan pendekatan </w:t>
      </w:r>
      <w:proofErr w:type="spellStart"/>
      <w:r w:rsidRPr="00A50E7E">
        <w:rPr>
          <w:i/>
          <w:iCs/>
          <w:color w:val="000000"/>
          <w:lang w:val="id-ID"/>
        </w:rPr>
        <w:t>Random</w:t>
      </w:r>
      <w:proofErr w:type="spellEnd"/>
      <w:r w:rsidRPr="00A50E7E">
        <w:rPr>
          <w:i/>
          <w:iCs/>
          <w:color w:val="000000"/>
          <w:lang w:val="id-ID"/>
        </w:rPr>
        <w:t xml:space="preserve"> </w:t>
      </w:r>
      <w:proofErr w:type="spellStart"/>
      <w:r w:rsidRPr="00A50E7E">
        <w:rPr>
          <w:i/>
          <w:iCs/>
          <w:color w:val="000000"/>
          <w:lang w:val="id-ID"/>
        </w:rPr>
        <w:t>Effect</w:t>
      </w:r>
      <w:proofErr w:type="spellEnd"/>
      <w:r w:rsidRPr="00A50E7E">
        <w:rPr>
          <w:i/>
          <w:iCs/>
          <w:color w:val="000000"/>
          <w:lang w:val="id-ID"/>
        </w:rPr>
        <w:t xml:space="preserve"> Model</w:t>
      </w:r>
      <w:r w:rsidRPr="00A50E7E">
        <w:rPr>
          <w:color w:val="000000"/>
          <w:lang w:val="id-ID"/>
        </w:rPr>
        <w:t xml:space="preserve"> (REM) untuk melakukan analisis regresi linier berganda pada periode pengamatan 2018-2024. Proses pengolahan data dilakukan secara komputasi menggunakan perangkat lunak </w:t>
      </w:r>
      <w:proofErr w:type="spellStart"/>
      <w:r w:rsidRPr="00A50E7E">
        <w:rPr>
          <w:color w:val="000000"/>
          <w:lang w:val="id-ID"/>
        </w:rPr>
        <w:t>EViews</w:t>
      </w:r>
      <w:proofErr w:type="spellEnd"/>
      <w:r w:rsidRPr="00A50E7E">
        <w:rPr>
          <w:color w:val="000000"/>
          <w:lang w:val="id-ID"/>
        </w:rPr>
        <w:t xml:space="preserve"> versi 10.0 yang memungkinkan pengujian statistik yang komprehensif. Pemilihan REM sebagai model akhir didasarkan pada serangkaian uji statistik sebelumnya yang menunjukkan bahwa model ini paling sesuai untuk menganalisis hubungan antar variabel dalam penelitian ini</w:t>
      </w:r>
      <w:r w:rsidR="00E634F5" w:rsidRPr="00A50E7E">
        <w:rPr>
          <w:color w:val="000000"/>
          <w:lang w:val="id-ID"/>
        </w:rPr>
        <w:t>.</w:t>
      </w:r>
      <w:r w:rsidR="00A159FB" w:rsidRPr="00A50E7E">
        <w:rPr>
          <w:color w:val="000000"/>
        </w:rPr>
        <w:t xml:space="preserve"> Hasil </w:t>
      </w:r>
      <w:proofErr w:type="spellStart"/>
      <w:r w:rsidR="00A159FB" w:rsidRPr="00A50E7E">
        <w:rPr>
          <w:color w:val="000000"/>
        </w:rPr>
        <w:t>analisis</w:t>
      </w:r>
      <w:proofErr w:type="spellEnd"/>
      <w:r w:rsidR="00A159FB" w:rsidRPr="00A50E7E">
        <w:rPr>
          <w:color w:val="000000"/>
        </w:rPr>
        <w:t xml:space="preserve"> </w:t>
      </w:r>
      <w:proofErr w:type="spellStart"/>
      <w:r w:rsidR="00A159FB" w:rsidRPr="00A50E7E">
        <w:rPr>
          <w:color w:val="000000"/>
        </w:rPr>
        <w:t>tersebut</w:t>
      </w:r>
      <w:proofErr w:type="spellEnd"/>
      <w:r w:rsidR="00A159FB" w:rsidRPr="00A50E7E">
        <w:rPr>
          <w:color w:val="000000"/>
        </w:rPr>
        <w:t xml:space="preserve"> </w:t>
      </w:r>
      <w:proofErr w:type="spellStart"/>
      <w:r w:rsidR="00A159FB" w:rsidRPr="00A50E7E">
        <w:rPr>
          <w:color w:val="000000"/>
        </w:rPr>
        <w:t>dapat</w:t>
      </w:r>
      <w:proofErr w:type="spellEnd"/>
      <w:r w:rsidR="00A159FB" w:rsidRPr="00A50E7E">
        <w:rPr>
          <w:color w:val="000000"/>
        </w:rPr>
        <w:t xml:space="preserve"> </w:t>
      </w:r>
      <w:proofErr w:type="spellStart"/>
      <w:r w:rsidR="00A159FB" w:rsidRPr="00A50E7E">
        <w:rPr>
          <w:color w:val="000000"/>
        </w:rPr>
        <w:t>dilihat</w:t>
      </w:r>
      <w:proofErr w:type="spellEnd"/>
      <w:r w:rsidR="00A159FB" w:rsidRPr="00A50E7E">
        <w:rPr>
          <w:color w:val="000000"/>
        </w:rPr>
        <w:t xml:space="preserve"> pada </w:t>
      </w:r>
      <w:proofErr w:type="spellStart"/>
      <w:r w:rsidR="00A159FB" w:rsidRPr="00A50E7E">
        <w:rPr>
          <w:color w:val="000000"/>
        </w:rPr>
        <w:t>Tabel</w:t>
      </w:r>
      <w:proofErr w:type="spellEnd"/>
      <w:r w:rsidR="00A159FB" w:rsidRPr="00A50E7E">
        <w:rPr>
          <w:color w:val="000000"/>
        </w:rPr>
        <w:t xml:space="preserve"> 3.</w:t>
      </w:r>
    </w:p>
    <w:p w14:paraId="2B2ACA52" w14:textId="77777777" w:rsidR="00046BFC" w:rsidRDefault="00046BFC" w:rsidP="00DD60E7">
      <w:pPr>
        <w:spacing w:before="120" w:after="120"/>
        <w:jc w:val="center"/>
        <w:rPr>
          <w:color w:val="000000"/>
          <w:sz w:val="16"/>
          <w:szCs w:val="18"/>
          <w:lang w:val="id-ID"/>
        </w:rPr>
      </w:pPr>
    </w:p>
    <w:p w14:paraId="5EF151A5" w14:textId="77777777" w:rsidR="00046BFC" w:rsidRDefault="00046BFC" w:rsidP="00DD60E7">
      <w:pPr>
        <w:spacing w:before="120" w:after="120"/>
        <w:jc w:val="center"/>
        <w:rPr>
          <w:color w:val="000000"/>
          <w:sz w:val="16"/>
          <w:szCs w:val="18"/>
          <w:lang w:val="id-ID"/>
        </w:rPr>
      </w:pPr>
    </w:p>
    <w:p w14:paraId="2F058909" w14:textId="77777777" w:rsidR="00046BFC" w:rsidRDefault="00046BFC" w:rsidP="00DD60E7">
      <w:pPr>
        <w:spacing w:before="120" w:after="120"/>
        <w:jc w:val="center"/>
        <w:rPr>
          <w:color w:val="000000"/>
          <w:sz w:val="16"/>
          <w:szCs w:val="18"/>
          <w:lang w:val="id-ID"/>
        </w:rPr>
      </w:pPr>
    </w:p>
    <w:p w14:paraId="5A7B9B55" w14:textId="6AD60187" w:rsidR="00E634F5" w:rsidRPr="00A50E7E" w:rsidRDefault="00E634F5" w:rsidP="00DD60E7">
      <w:pPr>
        <w:spacing w:before="120" w:after="120"/>
        <w:jc w:val="center"/>
        <w:rPr>
          <w:color w:val="000000"/>
          <w:sz w:val="16"/>
          <w:szCs w:val="18"/>
          <w:lang w:val="id-ID"/>
        </w:rPr>
      </w:pPr>
      <w:r w:rsidRPr="00A50E7E">
        <w:rPr>
          <w:color w:val="000000"/>
          <w:sz w:val="16"/>
          <w:szCs w:val="18"/>
          <w:lang w:val="id-ID"/>
        </w:rPr>
        <w:t xml:space="preserve">Tabel 3. Hasil Regresi </w:t>
      </w:r>
      <w:r w:rsidR="00A159FB" w:rsidRPr="00A50E7E">
        <w:rPr>
          <w:color w:val="000000"/>
          <w:sz w:val="16"/>
          <w:szCs w:val="18"/>
          <w:lang w:val="id-ID"/>
        </w:rPr>
        <w:t>Linear</w:t>
      </w:r>
      <w:r w:rsidRPr="00A50E7E">
        <w:rPr>
          <w:color w:val="000000"/>
          <w:sz w:val="16"/>
          <w:szCs w:val="18"/>
          <w:lang w:val="id-ID"/>
        </w:rPr>
        <w:t xml:space="preserve"> Berganda dengan </w:t>
      </w:r>
      <w:proofErr w:type="spellStart"/>
      <w:r w:rsidRPr="00A50E7E">
        <w:rPr>
          <w:i/>
          <w:iCs/>
          <w:color w:val="000000"/>
          <w:sz w:val="16"/>
          <w:szCs w:val="18"/>
          <w:lang w:val="id-ID"/>
        </w:rPr>
        <w:t>Random</w:t>
      </w:r>
      <w:proofErr w:type="spellEnd"/>
      <w:r w:rsidRPr="00A50E7E">
        <w:rPr>
          <w:i/>
          <w:iCs/>
          <w:color w:val="000000"/>
          <w:sz w:val="16"/>
          <w:szCs w:val="18"/>
          <w:lang w:val="id-ID"/>
        </w:rPr>
        <w:t xml:space="preserve"> </w:t>
      </w:r>
      <w:proofErr w:type="spellStart"/>
      <w:r w:rsidRPr="00A50E7E">
        <w:rPr>
          <w:i/>
          <w:iCs/>
          <w:color w:val="000000"/>
          <w:sz w:val="16"/>
          <w:szCs w:val="18"/>
          <w:lang w:val="id-ID"/>
        </w:rPr>
        <w:t>Effect</w:t>
      </w:r>
      <w:proofErr w:type="spellEnd"/>
      <w:r w:rsidRPr="00A50E7E">
        <w:rPr>
          <w:i/>
          <w:iCs/>
          <w:color w:val="000000"/>
          <w:sz w:val="16"/>
          <w:szCs w:val="18"/>
          <w:lang w:val="id-ID"/>
        </w:rPr>
        <w:t xml:space="preserve"> Model</w:t>
      </w:r>
      <w:r w:rsidRPr="00A50E7E">
        <w:rPr>
          <w:color w:val="000000"/>
          <w:sz w:val="16"/>
          <w:szCs w:val="18"/>
          <w:lang w:val="id-ID"/>
        </w:rPr>
        <w:t xml:space="preserve"> (REM)</w:t>
      </w:r>
    </w:p>
    <w:tbl>
      <w:tblPr>
        <w:tblW w:w="4398" w:type="dxa"/>
        <w:jc w:val="center"/>
        <w:tblBorders>
          <w:top w:val="single" w:sz="4" w:space="0" w:color="auto"/>
          <w:bottom w:val="single" w:sz="4" w:space="0" w:color="auto"/>
        </w:tblBorders>
        <w:tblLayout w:type="fixed"/>
        <w:tblCellMar>
          <w:left w:w="58" w:type="dxa"/>
          <w:right w:w="58" w:type="dxa"/>
        </w:tblCellMar>
        <w:tblLook w:val="01E0" w:firstRow="1" w:lastRow="1" w:firstColumn="1" w:lastColumn="1" w:noHBand="0" w:noVBand="0"/>
      </w:tblPr>
      <w:tblGrid>
        <w:gridCol w:w="2667"/>
        <w:gridCol w:w="881"/>
        <w:gridCol w:w="850"/>
      </w:tblGrid>
      <w:tr w:rsidR="008A2590" w:rsidRPr="00A50E7E" w14:paraId="28979F20" w14:textId="77777777" w:rsidTr="009772E5">
        <w:trPr>
          <w:trHeight w:val="20"/>
          <w:jc w:val="center"/>
        </w:trPr>
        <w:tc>
          <w:tcPr>
            <w:tcW w:w="2667" w:type="dxa"/>
            <w:tcBorders>
              <w:top w:val="single" w:sz="12" w:space="0" w:color="auto"/>
              <w:bottom w:val="single" w:sz="4" w:space="0" w:color="auto"/>
            </w:tcBorders>
            <w:shd w:val="clear" w:color="auto" w:fill="auto"/>
            <w:vAlign w:val="center"/>
          </w:tcPr>
          <w:p w14:paraId="5302F41A" w14:textId="77777777" w:rsidR="008A2590" w:rsidRPr="00A50E7E" w:rsidRDefault="008A2590" w:rsidP="00A159FB">
            <w:pPr>
              <w:widowControl w:val="0"/>
              <w:autoSpaceDE w:val="0"/>
              <w:autoSpaceDN w:val="0"/>
              <w:spacing w:before="2" w:after="0"/>
              <w:rPr>
                <w:rFonts w:eastAsia="Times New Roman"/>
                <w:bCs/>
                <w:sz w:val="16"/>
                <w:szCs w:val="14"/>
                <w:lang w:val="id-ID"/>
              </w:rPr>
            </w:pPr>
            <w:r w:rsidRPr="00A50E7E">
              <w:rPr>
                <w:rFonts w:eastAsia="Times New Roman"/>
                <w:bCs/>
                <w:sz w:val="16"/>
                <w:szCs w:val="14"/>
                <w:lang w:val="id-ID"/>
              </w:rPr>
              <w:t>Variabel</w:t>
            </w:r>
            <w:r w:rsidRPr="00A50E7E">
              <w:rPr>
                <w:rFonts w:eastAsia="Times New Roman"/>
                <w:bCs/>
                <w:spacing w:val="-2"/>
                <w:sz w:val="16"/>
                <w:szCs w:val="14"/>
                <w:lang w:val="id-ID"/>
              </w:rPr>
              <w:t xml:space="preserve"> Penelitian</w:t>
            </w:r>
          </w:p>
        </w:tc>
        <w:tc>
          <w:tcPr>
            <w:tcW w:w="881" w:type="dxa"/>
            <w:tcBorders>
              <w:top w:val="single" w:sz="12" w:space="0" w:color="auto"/>
              <w:bottom w:val="single" w:sz="4" w:space="0" w:color="auto"/>
            </w:tcBorders>
            <w:shd w:val="clear" w:color="auto" w:fill="auto"/>
            <w:vAlign w:val="center"/>
          </w:tcPr>
          <w:p w14:paraId="335B7CB0" w14:textId="77777777" w:rsidR="008A2590" w:rsidRPr="00A50E7E" w:rsidRDefault="008A2590" w:rsidP="00A159FB">
            <w:pPr>
              <w:widowControl w:val="0"/>
              <w:autoSpaceDE w:val="0"/>
              <w:autoSpaceDN w:val="0"/>
              <w:spacing w:before="2" w:after="0"/>
              <w:ind w:left="12"/>
              <w:jc w:val="right"/>
              <w:rPr>
                <w:rFonts w:eastAsia="Times New Roman"/>
                <w:bCs/>
                <w:i/>
                <w:sz w:val="16"/>
                <w:szCs w:val="14"/>
                <w:lang w:val="id-ID"/>
              </w:rPr>
            </w:pPr>
            <w:proofErr w:type="spellStart"/>
            <w:r w:rsidRPr="00A50E7E">
              <w:rPr>
                <w:rFonts w:eastAsia="Times New Roman"/>
                <w:bCs/>
                <w:i/>
                <w:spacing w:val="-2"/>
                <w:sz w:val="16"/>
                <w:szCs w:val="14"/>
                <w:lang w:val="id-ID"/>
              </w:rPr>
              <w:t>Coefficient</w:t>
            </w:r>
            <w:proofErr w:type="spellEnd"/>
          </w:p>
        </w:tc>
        <w:tc>
          <w:tcPr>
            <w:tcW w:w="850" w:type="dxa"/>
            <w:tcBorders>
              <w:top w:val="single" w:sz="12" w:space="0" w:color="auto"/>
              <w:bottom w:val="single" w:sz="4" w:space="0" w:color="auto"/>
            </w:tcBorders>
            <w:shd w:val="clear" w:color="auto" w:fill="auto"/>
            <w:vAlign w:val="center"/>
          </w:tcPr>
          <w:p w14:paraId="57CB2D59" w14:textId="77777777" w:rsidR="008A2590" w:rsidRPr="00A50E7E" w:rsidRDefault="008A2590" w:rsidP="00A159FB">
            <w:pPr>
              <w:widowControl w:val="0"/>
              <w:autoSpaceDE w:val="0"/>
              <w:autoSpaceDN w:val="0"/>
              <w:spacing w:before="2" w:after="0"/>
              <w:ind w:left="8" w:right="2"/>
              <w:rPr>
                <w:rFonts w:eastAsia="Times New Roman"/>
                <w:bCs/>
                <w:sz w:val="16"/>
                <w:szCs w:val="14"/>
                <w:lang w:val="id-ID"/>
              </w:rPr>
            </w:pPr>
            <w:r w:rsidRPr="00A50E7E">
              <w:rPr>
                <w:rFonts w:eastAsia="Times New Roman"/>
                <w:bCs/>
                <w:spacing w:val="-2"/>
                <w:sz w:val="16"/>
                <w:szCs w:val="14"/>
                <w:lang w:val="id-ID"/>
              </w:rPr>
              <w:t>Keterangan</w:t>
            </w:r>
          </w:p>
        </w:tc>
      </w:tr>
      <w:tr w:rsidR="008A2590" w:rsidRPr="00A50E7E" w14:paraId="2DD27ED0" w14:textId="77777777" w:rsidTr="00A159FB">
        <w:trPr>
          <w:trHeight w:val="20"/>
          <w:jc w:val="center"/>
        </w:trPr>
        <w:tc>
          <w:tcPr>
            <w:tcW w:w="2667" w:type="dxa"/>
            <w:tcBorders>
              <w:top w:val="single" w:sz="4" w:space="0" w:color="auto"/>
            </w:tcBorders>
            <w:shd w:val="clear" w:color="auto" w:fill="auto"/>
            <w:vAlign w:val="center"/>
          </w:tcPr>
          <w:p w14:paraId="5BC068C3" w14:textId="77777777" w:rsidR="008A2590" w:rsidRPr="00A50E7E" w:rsidRDefault="008A2590" w:rsidP="00A159FB">
            <w:pPr>
              <w:widowControl w:val="0"/>
              <w:autoSpaceDE w:val="0"/>
              <w:autoSpaceDN w:val="0"/>
              <w:spacing w:after="0"/>
              <w:rPr>
                <w:rFonts w:eastAsia="Times New Roman"/>
                <w:bCs/>
                <w:sz w:val="16"/>
                <w:szCs w:val="14"/>
                <w:lang w:val="id-ID"/>
              </w:rPr>
            </w:pPr>
            <w:r w:rsidRPr="00A50E7E">
              <w:rPr>
                <w:rFonts w:eastAsia="Times New Roman"/>
                <w:bCs/>
                <w:spacing w:val="-2"/>
                <w:sz w:val="16"/>
                <w:szCs w:val="14"/>
                <w:lang w:val="id-ID"/>
              </w:rPr>
              <w:t>Konstanta</w:t>
            </w:r>
          </w:p>
        </w:tc>
        <w:tc>
          <w:tcPr>
            <w:tcW w:w="881" w:type="dxa"/>
            <w:tcBorders>
              <w:top w:val="single" w:sz="4" w:space="0" w:color="auto"/>
            </w:tcBorders>
            <w:shd w:val="clear" w:color="auto" w:fill="auto"/>
            <w:vAlign w:val="center"/>
          </w:tcPr>
          <w:p w14:paraId="7F7FEE62" w14:textId="77777777" w:rsidR="008A2590" w:rsidRPr="00A50E7E" w:rsidRDefault="008A2590" w:rsidP="00A159FB">
            <w:pPr>
              <w:widowControl w:val="0"/>
              <w:autoSpaceDE w:val="0"/>
              <w:autoSpaceDN w:val="0"/>
              <w:spacing w:after="0"/>
              <w:ind w:left="12" w:right="2"/>
              <w:jc w:val="right"/>
              <w:rPr>
                <w:rFonts w:eastAsia="Times New Roman"/>
                <w:bCs/>
                <w:sz w:val="16"/>
                <w:szCs w:val="14"/>
                <w:lang w:val="id-ID"/>
              </w:rPr>
            </w:pPr>
            <w:r w:rsidRPr="00A50E7E">
              <w:rPr>
                <w:rFonts w:eastAsia="Times New Roman"/>
                <w:bCs/>
                <w:sz w:val="16"/>
                <w:szCs w:val="14"/>
                <w:lang w:val="id-ID"/>
              </w:rPr>
              <w:t>-</w:t>
            </w:r>
            <w:r w:rsidRPr="00A50E7E">
              <w:rPr>
                <w:rFonts w:eastAsia="Times New Roman"/>
                <w:bCs/>
                <w:spacing w:val="-2"/>
                <w:sz w:val="16"/>
                <w:szCs w:val="14"/>
                <w:lang w:val="id-ID"/>
              </w:rPr>
              <w:t>8,2819</w:t>
            </w:r>
          </w:p>
        </w:tc>
        <w:tc>
          <w:tcPr>
            <w:tcW w:w="850" w:type="dxa"/>
            <w:tcBorders>
              <w:top w:val="single" w:sz="4" w:space="0" w:color="auto"/>
            </w:tcBorders>
            <w:shd w:val="clear" w:color="auto" w:fill="auto"/>
            <w:vAlign w:val="center"/>
          </w:tcPr>
          <w:p w14:paraId="69E914DE" w14:textId="77777777" w:rsidR="008A2590" w:rsidRPr="00A50E7E" w:rsidRDefault="008A2590" w:rsidP="00A159FB">
            <w:pPr>
              <w:widowControl w:val="0"/>
              <w:autoSpaceDE w:val="0"/>
              <w:autoSpaceDN w:val="0"/>
              <w:spacing w:after="0"/>
              <w:ind w:left="8"/>
              <w:rPr>
                <w:rFonts w:eastAsia="Times New Roman"/>
                <w:bCs/>
                <w:sz w:val="16"/>
                <w:szCs w:val="14"/>
                <w:lang w:val="id-ID"/>
              </w:rPr>
            </w:pPr>
            <w:r w:rsidRPr="00A50E7E">
              <w:rPr>
                <w:rFonts w:eastAsia="Times New Roman"/>
                <w:bCs/>
                <w:spacing w:val="-2"/>
                <w:sz w:val="16"/>
                <w:szCs w:val="14"/>
                <w:lang w:val="id-ID"/>
              </w:rPr>
              <w:t>Negatif</w:t>
            </w:r>
          </w:p>
        </w:tc>
      </w:tr>
      <w:tr w:rsidR="008A2590" w:rsidRPr="00A50E7E" w14:paraId="3E57E31A" w14:textId="77777777" w:rsidTr="00A159FB">
        <w:trPr>
          <w:trHeight w:val="20"/>
          <w:jc w:val="center"/>
        </w:trPr>
        <w:tc>
          <w:tcPr>
            <w:tcW w:w="2667" w:type="dxa"/>
            <w:shd w:val="clear" w:color="auto" w:fill="auto"/>
            <w:vAlign w:val="center"/>
          </w:tcPr>
          <w:p w14:paraId="7F57B631" w14:textId="77777777" w:rsidR="008A2590" w:rsidRPr="00A50E7E" w:rsidRDefault="008A2590" w:rsidP="00A159FB">
            <w:pPr>
              <w:widowControl w:val="0"/>
              <w:autoSpaceDE w:val="0"/>
              <w:autoSpaceDN w:val="0"/>
              <w:spacing w:before="3" w:after="0"/>
              <w:rPr>
                <w:rFonts w:eastAsia="Times New Roman"/>
                <w:bCs/>
                <w:sz w:val="16"/>
                <w:szCs w:val="14"/>
                <w:lang w:val="id-ID"/>
              </w:rPr>
            </w:pPr>
            <w:r w:rsidRPr="00A50E7E">
              <w:rPr>
                <w:rFonts w:eastAsia="Times New Roman"/>
                <w:bCs/>
                <w:sz w:val="16"/>
                <w:szCs w:val="14"/>
                <w:lang w:val="id-ID"/>
              </w:rPr>
              <w:t>Struktur</w:t>
            </w:r>
            <w:r w:rsidRPr="00A50E7E">
              <w:rPr>
                <w:rFonts w:eastAsia="Times New Roman"/>
                <w:bCs/>
                <w:spacing w:val="-1"/>
                <w:sz w:val="16"/>
                <w:szCs w:val="14"/>
                <w:lang w:val="id-ID"/>
              </w:rPr>
              <w:t xml:space="preserve"> </w:t>
            </w:r>
            <w:r w:rsidRPr="00A50E7E">
              <w:rPr>
                <w:rFonts w:eastAsia="Times New Roman"/>
                <w:bCs/>
                <w:sz w:val="16"/>
                <w:szCs w:val="14"/>
                <w:lang w:val="id-ID"/>
              </w:rPr>
              <w:t>Modal</w:t>
            </w:r>
            <w:r w:rsidRPr="00A50E7E">
              <w:rPr>
                <w:rFonts w:eastAsia="Times New Roman"/>
                <w:bCs/>
                <w:spacing w:val="-1"/>
                <w:sz w:val="16"/>
                <w:szCs w:val="14"/>
                <w:lang w:val="id-ID"/>
              </w:rPr>
              <w:t xml:space="preserve"> </w:t>
            </w:r>
            <w:r w:rsidRPr="00A50E7E">
              <w:rPr>
                <w:rFonts w:eastAsia="Times New Roman"/>
                <w:bCs/>
                <w:sz w:val="16"/>
                <w:szCs w:val="14"/>
                <w:lang w:val="id-ID"/>
              </w:rPr>
              <w:t>(X</w:t>
            </w:r>
            <w:r w:rsidRPr="00A50E7E">
              <w:rPr>
                <w:rFonts w:eastAsia="Times New Roman"/>
                <w:bCs/>
                <w:sz w:val="16"/>
                <w:szCs w:val="14"/>
                <w:vertAlign w:val="subscript"/>
                <w:lang w:val="id-ID"/>
              </w:rPr>
              <w:t>1</w:t>
            </w:r>
            <w:r w:rsidRPr="00A50E7E">
              <w:rPr>
                <w:rFonts w:eastAsia="Times New Roman"/>
                <w:bCs/>
                <w:sz w:val="16"/>
                <w:szCs w:val="14"/>
                <w:lang w:val="id-ID"/>
              </w:rPr>
              <w:t>)</w:t>
            </w:r>
            <w:r w:rsidRPr="00A50E7E">
              <w:rPr>
                <w:rFonts w:eastAsia="Times New Roman"/>
                <w:bCs/>
                <w:spacing w:val="-1"/>
                <w:sz w:val="16"/>
                <w:szCs w:val="14"/>
                <w:lang w:val="id-ID"/>
              </w:rPr>
              <w:t xml:space="preserve"> </w:t>
            </w:r>
            <w:r w:rsidRPr="00A50E7E">
              <w:rPr>
                <w:rFonts w:eastAsia="Times New Roman"/>
                <w:bCs/>
                <w:sz w:val="16"/>
                <w:szCs w:val="14"/>
                <w:lang w:val="id-ID"/>
              </w:rPr>
              <w:t>→</w:t>
            </w:r>
            <w:r w:rsidRPr="00A50E7E">
              <w:rPr>
                <w:rFonts w:eastAsia="Times New Roman"/>
                <w:bCs/>
                <w:spacing w:val="-1"/>
                <w:sz w:val="16"/>
                <w:szCs w:val="14"/>
                <w:lang w:val="id-ID"/>
              </w:rPr>
              <w:t xml:space="preserve"> </w:t>
            </w:r>
            <w:proofErr w:type="spellStart"/>
            <w:r w:rsidRPr="00A50E7E">
              <w:rPr>
                <w:rFonts w:eastAsia="Times New Roman"/>
                <w:bCs/>
                <w:i/>
                <w:sz w:val="16"/>
                <w:szCs w:val="14"/>
                <w:lang w:val="id-ID"/>
              </w:rPr>
              <w:t>Tax</w:t>
            </w:r>
            <w:proofErr w:type="spellEnd"/>
            <w:r w:rsidRPr="00A50E7E">
              <w:rPr>
                <w:rFonts w:eastAsia="Times New Roman"/>
                <w:bCs/>
                <w:i/>
                <w:sz w:val="16"/>
                <w:szCs w:val="14"/>
                <w:lang w:val="id-ID"/>
              </w:rPr>
              <w:t xml:space="preserve"> </w:t>
            </w:r>
            <w:proofErr w:type="spellStart"/>
            <w:r w:rsidRPr="00A50E7E">
              <w:rPr>
                <w:rFonts w:eastAsia="Times New Roman"/>
                <w:bCs/>
                <w:i/>
                <w:sz w:val="16"/>
                <w:szCs w:val="14"/>
                <w:lang w:val="id-ID"/>
              </w:rPr>
              <w:t>Avoidance</w:t>
            </w:r>
            <w:proofErr w:type="spellEnd"/>
            <w:r w:rsidRPr="00A50E7E">
              <w:rPr>
                <w:rFonts w:eastAsia="Times New Roman"/>
                <w:bCs/>
                <w:i/>
                <w:spacing w:val="2"/>
                <w:sz w:val="16"/>
                <w:szCs w:val="14"/>
                <w:lang w:val="id-ID"/>
              </w:rPr>
              <w:t xml:space="preserve"> </w:t>
            </w:r>
            <w:r w:rsidRPr="00A50E7E">
              <w:rPr>
                <w:rFonts w:eastAsia="Times New Roman"/>
                <w:bCs/>
                <w:spacing w:val="-5"/>
                <w:sz w:val="16"/>
                <w:szCs w:val="14"/>
                <w:lang w:val="id-ID"/>
              </w:rPr>
              <w:t>(Y)</w:t>
            </w:r>
          </w:p>
        </w:tc>
        <w:tc>
          <w:tcPr>
            <w:tcW w:w="881" w:type="dxa"/>
            <w:shd w:val="clear" w:color="auto" w:fill="auto"/>
            <w:vAlign w:val="center"/>
          </w:tcPr>
          <w:p w14:paraId="62F584B0" w14:textId="77777777" w:rsidR="008A2590" w:rsidRPr="00A50E7E" w:rsidRDefault="008A2590" w:rsidP="00A159FB">
            <w:pPr>
              <w:widowControl w:val="0"/>
              <w:autoSpaceDE w:val="0"/>
              <w:autoSpaceDN w:val="0"/>
              <w:spacing w:before="3" w:after="0"/>
              <w:ind w:left="12" w:right="2"/>
              <w:jc w:val="right"/>
              <w:rPr>
                <w:rFonts w:eastAsia="Times New Roman"/>
                <w:bCs/>
                <w:sz w:val="16"/>
                <w:szCs w:val="14"/>
                <w:lang w:val="id-ID"/>
              </w:rPr>
            </w:pPr>
            <w:r w:rsidRPr="00A50E7E">
              <w:rPr>
                <w:rFonts w:eastAsia="Times New Roman"/>
                <w:bCs/>
                <w:sz w:val="16"/>
                <w:szCs w:val="14"/>
                <w:lang w:val="id-ID"/>
              </w:rPr>
              <w:t>-</w:t>
            </w:r>
            <w:r w:rsidRPr="00A50E7E">
              <w:rPr>
                <w:rFonts w:eastAsia="Times New Roman"/>
                <w:bCs/>
                <w:spacing w:val="-2"/>
                <w:sz w:val="16"/>
                <w:szCs w:val="14"/>
                <w:lang w:val="id-ID"/>
              </w:rPr>
              <w:t>0,0503</w:t>
            </w:r>
          </w:p>
        </w:tc>
        <w:tc>
          <w:tcPr>
            <w:tcW w:w="850" w:type="dxa"/>
            <w:shd w:val="clear" w:color="auto" w:fill="auto"/>
            <w:vAlign w:val="center"/>
          </w:tcPr>
          <w:p w14:paraId="7FF03CC2" w14:textId="77777777" w:rsidR="008A2590" w:rsidRPr="00A50E7E" w:rsidRDefault="008A2590" w:rsidP="00A159FB">
            <w:pPr>
              <w:widowControl w:val="0"/>
              <w:autoSpaceDE w:val="0"/>
              <w:autoSpaceDN w:val="0"/>
              <w:spacing w:before="3" w:after="0"/>
              <w:ind w:left="8"/>
              <w:rPr>
                <w:rFonts w:eastAsia="Times New Roman"/>
                <w:bCs/>
                <w:sz w:val="16"/>
                <w:szCs w:val="14"/>
                <w:lang w:val="id-ID"/>
              </w:rPr>
            </w:pPr>
            <w:r w:rsidRPr="00A50E7E">
              <w:rPr>
                <w:rFonts w:eastAsia="Times New Roman"/>
                <w:bCs/>
                <w:spacing w:val="-2"/>
                <w:sz w:val="16"/>
                <w:szCs w:val="14"/>
                <w:lang w:val="id-ID"/>
              </w:rPr>
              <w:t>Negatif</w:t>
            </w:r>
          </w:p>
        </w:tc>
      </w:tr>
    </w:tbl>
    <w:p w14:paraId="1C4B00C9" w14:textId="5350AE78" w:rsidR="00E634F5" w:rsidRPr="00A50E7E" w:rsidRDefault="00E634F5" w:rsidP="00DD60E7">
      <w:pPr>
        <w:spacing w:before="120" w:after="120"/>
        <w:rPr>
          <w:color w:val="000000"/>
        </w:rPr>
      </w:pPr>
      <w:r w:rsidRPr="00A50E7E">
        <w:rPr>
          <w:color w:val="000000"/>
          <w:lang w:val="id-ID"/>
        </w:rPr>
        <w:t xml:space="preserve">Berikut </w:t>
      </w:r>
      <w:proofErr w:type="spellStart"/>
      <w:r w:rsidR="00A159FB" w:rsidRPr="00A50E7E">
        <w:rPr>
          <w:color w:val="000000"/>
        </w:rPr>
        <w:t>Persamaan</w:t>
      </w:r>
      <w:proofErr w:type="spellEnd"/>
      <w:r w:rsidR="00A159FB" w:rsidRPr="00A50E7E">
        <w:rPr>
          <w:color w:val="000000"/>
        </w:rPr>
        <w:t xml:space="preserve"> 1</w:t>
      </w:r>
      <w:r w:rsidRPr="00A50E7E">
        <w:rPr>
          <w:color w:val="000000"/>
          <w:lang w:val="id-ID"/>
        </w:rPr>
        <w:t xml:space="preserve"> dari hasil regresi linear berganda</w:t>
      </w:r>
      <w:r w:rsidR="00A159FB" w:rsidRPr="00A50E7E">
        <w:rPr>
          <w:color w:val="000000"/>
        </w:rPr>
        <w:t>.</w:t>
      </w:r>
    </w:p>
    <w:p w14:paraId="0469D4BF" w14:textId="03BC5941" w:rsidR="00E634F5" w:rsidRPr="00A50E7E" w:rsidRDefault="00E425B8" w:rsidP="00DD60E7">
      <w:pPr>
        <w:spacing w:before="120" w:after="120"/>
        <w:jc w:val="center"/>
        <w:rPr>
          <w:color w:val="000000"/>
        </w:rPr>
      </w:pPr>
      <m:oMath>
        <m:r>
          <w:rPr>
            <w:rFonts w:ascii="Cambria Math" w:hAnsi="Cambria Math"/>
            <w:color w:val="000000"/>
            <w:lang w:val="id-ID"/>
          </w:rPr>
          <m:t>LnY</m:t>
        </m:r>
        <m:r>
          <w:rPr>
            <w:rFonts w:ascii="Cambria Math" w:hAnsi="Cambria Math"/>
            <w:color w:val="000000"/>
            <w:vertAlign w:val="subscript"/>
            <w:lang w:val="id-ID"/>
          </w:rPr>
          <m:t>it</m:t>
        </m:r>
        <m:r>
          <w:rPr>
            <w:rFonts w:ascii="Cambria Math" w:hAnsi="Cambria Math"/>
            <w:color w:val="000000"/>
            <w:lang w:val="id-ID"/>
          </w:rPr>
          <m:t xml:space="preserve"> = – 8,2819α – Ln0,0503X</m:t>
        </m:r>
        <m:r>
          <w:rPr>
            <w:rFonts w:ascii="Cambria Math" w:hAnsi="Cambria Math"/>
            <w:color w:val="000000"/>
            <w:vertAlign w:val="subscript"/>
            <w:lang w:val="id-ID"/>
          </w:rPr>
          <m:t>1it</m:t>
        </m:r>
        <m:r>
          <w:rPr>
            <w:rFonts w:ascii="Cambria Math" w:hAnsi="Cambria Math"/>
            <w:color w:val="000000"/>
            <w:lang w:val="id-ID"/>
          </w:rPr>
          <m:t xml:space="preserve"> + Ln0,2003X</m:t>
        </m:r>
        <m:r>
          <w:rPr>
            <w:rFonts w:ascii="Cambria Math" w:hAnsi="Cambria Math"/>
            <w:color w:val="000000"/>
            <w:vertAlign w:val="subscript"/>
            <w:lang w:val="id-ID"/>
          </w:rPr>
          <m:t>2it</m:t>
        </m:r>
        <m:r>
          <w:rPr>
            <w:rFonts w:ascii="Cambria Math" w:hAnsi="Cambria Math"/>
            <w:color w:val="000000"/>
            <w:lang w:val="id-ID"/>
          </w:rPr>
          <m:t xml:space="preserve"> + Ln0,4132X</m:t>
        </m:r>
        <m:r>
          <w:rPr>
            <w:rFonts w:ascii="Cambria Math" w:hAnsi="Cambria Math"/>
            <w:color w:val="000000"/>
            <w:vertAlign w:val="subscript"/>
            <w:lang w:val="id-ID"/>
          </w:rPr>
          <m:t>3it</m:t>
        </m:r>
        <m:r>
          <w:rPr>
            <w:rFonts w:ascii="Cambria Math" w:hAnsi="Cambria Math"/>
            <w:color w:val="000000"/>
            <w:lang w:val="id-ID"/>
          </w:rPr>
          <m:t xml:space="preserve"> + e</m:t>
        </m:r>
        <m:r>
          <w:rPr>
            <w:rFonts w:ascii="Cambria Math" w:hAnsi="Cambria Math"/>
            <w:color w:val="000000"/>
            <w:vertAlign w:val="subscript"/>
            <w:lang w:val="id-ID"/>
          </w:rPr>
          <m:t>i</m:t>
        </m:r>
      </m:oMath>
      <w:r w:rsidRPr="00A50E7E">
        <w:rPr>
          <w:color w:val="000000"/>
          <w:vertAlign w:val="subscript"/>
          <w:lang w:val="id-ID"/>
        </w:rPr>
        <w:tab/>
      </w:r>
      <w:r w:rsidRPr="00A50E7E">
        <w:rPr>
          <w:color w:val="000000"/>
        </w:rPr>
        <w:t>(1)</w:t>
      </w:r>
    </w:p>
    <w:p w14:paraId="6B135FED" w14:textId="29E4D9EB" w:rsidR="00E634F5" w:rsidRPr="00A50E7E" w:rsidRDefault="00E634F5" w:rsidP="00DD60E7">
      <w:pPr>
        <w:spacing w:before="120" w:after="120"/>
        <w:rPr>
          <w:color w:val="000000"/>
          <w:lang w:val="id-ID"/>
        </w:rPr>
      </w:pPr>
      <w:r w:rsidRPr="00A50E7E">
        <w:rPr>
          <w:color w:val="000000"/>
          <w:lang w:val="id-ID"/>
        </w:rPr>
        <w:t xml:space="preserve">Hasil persamaan regresi </w:t>
      </w:r>
      <w:r w:rsidR="00E425B8" w:rsidRPr="00A50E7E">
        <w:rPr>
          <w:color w:val="000000"/>
          <w:lang w:val="id-ID"/>
        </w:rPr>
        <w:t>linear</w:t>
      </w:r>
      <w:r w:rsidRPr="00A50E7E">
        <w:rPr>
          <w:color w:val="000000"/>
          <w:lang w:val="id-ID"/>
        </w:rPr>
        <w:t xml:space="preserve"> berganda yang digunakan dalam penelitian ini dapat dijelaskan sebagai berikut:</w:t>
      </w:r>
    </w:p>
    <w:p w14:paraId="6153FE4F" w14:textId="1DBD4420" w:rsidR="00E634F5" w:rsidRPr="00A50E7E" w:rsidRDefault="00E634F5" w:rsidP="00E425B8">
      <w:pPr>
        <w:numPr>
          <w:ilvl w:val="0"/>
          <w:numId w:val="19"/>
        </w:numPr>
        <w:spacing w:before="120" w:after="120"/>
        <w:ind w:left="360" w:hanging="374"/>
        <w:rPr>
          <w:color w:val="000000"/>
          <w:lang w:val="id-ID"/>
        </w:rPr>
      </w:pPr>
      <w:r w:rsidRPr="00A50E7E">
        <w:rPr>
          <w:color w:val="000000"/>
          <w:lang w:val="id-ID"/>
        </w:rPr>
        <w:t>Konstanta (β</w:t>
      </w:r>
      <w:r w:rsidRPr="00A50E7E">
        <w:rPr>
          <w:color w:val="000000"/>
          <w:vertAlign w:val="subscript"/>
          <w:lang w:val="id-ID"/>
        </w:rPr>
        <w:t>0</w:t>
      </w:r>
      <w:r w:rsidRPr="00A50E7E">
        <w:rPr>
          <w:color w:val="000000"/>
          <w:lang w:val="id-ID"/>
        </w:rPr>
        <w:t xml:space="preserve">), berdasarkan hasil regresi </w:t>
      </w:r>
      <w:r w:rsidR="00E425B8" w:rsidRPr="00A50E7E">
        <w:rPr>
          <w:color w:val="000000"/>
          <w:lang w:val="id-ID"/>
        </w:rPr>
        <w:t>linear</w:t>
      </w:r>
      <w:r w:rsidRPr="00A50E7E">
        <w:rPr>
          <w:color w:val="000000"/>
          <w:lang w:val="id-ID"/>
        </w:rPr>
        <w:t xml:space="preserve"> berganda, diperoleh nilai konstanta (negatif) sebesar -8,2819. Nilai </w:t>
      </w:r>
      <w:proofErr w:type="spellStart"/>
      <w:r w:rsidRPr="00A50E7E">
        <w:rPr>
          <w:i/>
          <w:color w:val="000000"/>
          <w:lang w:val="id-ID"/>
        </w:rPr>
        <w:t>coefficient</w:t>
      </w:r>
      <w:proofErr w:type="spellEnd"/>
      <w:r w:rsidRPr="00A50E7E">
        <w:rPr>
          <w:i/>
          <w:color w:val="000000"/>
          <w:lang w:val="id-ID"/>
        </w:rPr>
        <w:t xml:space="preserve"> </w:t>
      </w:r>
      <w:r w:rsidRPr="00A50E7E">
        <w:rPr>
          <w:color w:val="000000"/>
          <w:lang w:val="id-ID"/>
        </w:rPr>
        <w:t>tersebut memiliki arti apabila Struktur Modal (X</w:t>
      </w:r>
      <w:r w:rsidRPr="00A50E7E">
        <w:rPr>
          <w:color w:val="000000"/>
          <w:vertAlign w:val="subscript"/>
          <w:lang w:val="id-ID"/>
        </w:rPr>
        <w:t>1</w:t>
      </w:r>
      <w:r w:rsidRPr="00A50E7E">
        <w:rPr>
          <w:color w:val="000000"/>
          <w:lang w:val="id-ID"/>
        </w:rPr>
        <w:t>), Profitabilitas (X</w:t>
      </w:r>
      <w:r w:rsidRPr="00A50E7E">
        <w:rPr>
          <w:color w:val="000000"/>
          <w:vertAlign w:val="subscript"/>
          <w:lang w:val="id-ID"/>
        </w:rPr>
        <w:t>2</w:t>
      </w:r>
      <w:r w:rsidRPr="00A50E7E">
        <w:rPr>
          <w:color w:val="000000"/>
          <w:lang w:val="id-ID"/>
        </w:rPr>
        <w:t>) dan Ukuran Perusahaan (X</w:t>
      </w:r>
      <w:r w:rsidRPr="00A50E7E">
        <w:rPr>
          <w:color w:val="000000"/>
          <w:vertAlign w:val="subscript"/>
          <w:lang w:val="id-ID"/>
        </w:rPr>
        <w:t>3</w:t>
      </w:r>
      <w:r w:rsidRPr="00A50E7E">
        <w:rPr>
          <w:color w:val="000000"/>
          <w:lang w:val="id-ID"/>
        </w:rPr>
        <w:t xml:space="preserve">) tidak mengalami perubahan maka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sebesar -8,2819 persen.</w:t>
      </w:r>
    </w:p>
    <w:p w14:paraId="6E4FF63C" w14:textId="5E6F8BF0" w:rsidR="00E634F5" w:rsidRPr="00A50E7E" w:rsidRDefault="00E634F5" w:rsidP="00E425B8">
      <w:pPr>
        <w:numPr>
          <w:ilvl w:val="0"/>
          <w:numId w:val="19"/>
        </w:numPr>
        <w:spacing w:before="120" w:after="120"/>
        <w:ind w:left="360" w:hanging="374"/>
        <w:rPr>
          <w:color w:val="000000"/>
          <w:lang w:val="id-ID"/>
        </w:rPr>
      </w:pPr>
      <w:r w:rsidRPr="00A50E7E">
        <w:rPr>
          <w:color w:val="000000"/>
          <w:lang w:val="id-ID"/>
        </w:rPr>
        <w:t>Struktur Modal (X</w:t>
      </w:r>
      <w:r w:rsidRPr="00A50E7E">
        <w:rPr>
          <w:color w:val="000000"/>
          <w:vertAlign w:val="subscript"/>
          <w:lang w:val="id-ID"/>
        </w:rPr>
        <w:t>1</w:t>
      </w:r>
      <w:r w:rsidRPr="00A50E7E">
        <w:rPr>
          <w:color w:val="000000"/>
          <w:lang w:val="id-ID"/>
        </w:rPr>
        <w:t xml:space="preserve">), berdasarkan hasil regresi </w:t>
      </w:r>
      <w:r w:rsidR="00E425B8" w:rsidRPr="00A50E7E">
        <w:rPr>
          <w:color w:val="000000"/>
          <w:lang w:val="id-ID"/>
        </w:rPr>
        <w:t>linear</w:t>
      </w:r>
      <w:r w:rsidRPr="00A50E7E">
        <w:rPr>
          <w:color w:val="000000"/>
          <w:lang w:val="id-ID"/>
        </w:rPr>
        <w:t xml:space="preserve"> berganda, diperoleh nilai </w:t>
      </w:r>
      <w:proofErr w:type="spellStart"/>
      <w:r w:rsidRPr="00A50E7E">
        <w:rPr>
          <w:i/>
          <w:color w:val="000000"/>
          <w:lang w:val="id-ID"/>
        </w:rPr>
        <w:t>coefficient</w:t>
      </w:r>
      <w:proofErr w:type="spellEnd"/>
      <w:r w:rsidRPr="00A50E7E">
        <w:rPr>
          <w:i/>
          <w:color w:val="000000"/>
          <w:lang w:val="id-ID"/>
        </w:rPr>
        <w:t xml:space="preserve"> </w:t>
      </w:r>
      <w:r w:rsidRPr="00A50E7E">
        <w:rPr>
          <w:color w:val="000000"/>
          <w:lang w:val="id-ID"/>
        </w:rPr>
        <w:t>Struktur Modal (X</w:t>
      </w:r>
      <w:r w:rsidRPr="00A50E7E">
        <w:rPr>
          <w:color w:val="000000"/>
          <w:vertAlign w:val="subscript"/>
          <w:lang w:val="id-ID"/>
        </w:rPr>
        <w:t>1</w:t>
      </w:r>
      <w:r w:rsidRPr="00A50E7E">
        <w:rPr>
          <w:color w:val="000000"/>
          <w:lang w:val="id-ID"/>
        </w:rPr>
        <w:t>) sebesar -0,0503 menunjukkan bahwa apabila Struktur Modal (X</w:t>
      </w:r>
      <w:r w:rsidRPr="00A50E7E">
        <w:rPr>
          <w:color w:val="000000"/>
          <w:vertAlign w:val="subscript"/>
          <w:lang w:val="id-ID"/>
        </w:rPr>
        <w:t>1</w:t>
      </w:r>
      <w:r w:rsidRPr="00A50E7E">
        <w:rPr>
          <w:color w:val="000000"/>
          <w:lang w:val="id-ID"/>
        </w:rPr>
        <w:t xml:space="preserve">) mengalami kenaikan satu persen, maka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akan menurun (negatif) sebesar</w:t>
      </w:r>
      <w:r w:rsidR="008A2590" w:rsidRPr="00A50E7E">
        <w:rPr>
          <w:color w:val="000000"/>
          <w:lang w:val="id-ID"/>
        </w:rPr>
        <w:t xml:space="preserve"> </w:t>
      </w:r>
      <w:r w:rsidRPr="00A50E7E">
        <w:rPr>
          <w:color w:val="000000"/>
          <w:lang w:val="id-ID"/>
        </w:rPr>
        <w:t>-0,0503 persen dengan asumsi bawah Profitabilitas (X</w:t>
      </w:r>
      <w:r w:rsidRPr="00A50E7E">
        <w:rPr>
          <w:color w:val="000000"/>
          <w:vertAlign w:val="subscript"/>
          <w:lang w:val="id-ID"/>
        </w:rPr>
        <w:t>2</w:t>
      </w:r>
      <w:r w:rsidRPr="00A50E7E">
        <w:rPr>
          <w:color w:val="000000"/>
          <w:lang w:val="id-ID"/>
        </w:rPr>
        <w:t>) dan Ukuran Perusahaan (X</w:t>
      </w:r>
      <w:r w:rsidRPr="00A50E7E">
        <w:rPr>
          <w:color w:val="000000"/>
          <w:vertAlign w:val="subscript"/>
          <w:lang w:val="id-ID"/>
        </w:rPr>
        <w:t>3</w:t>
      </w:r>
      <w:r w:rsidRPr="00A50E7E">
        <w:rPr>
          <w:color w:val="000000"/>
          <w:lang w:val="id-ID"/>
        </w:rPr>
        <w:t>) konstan/ tetap.</w:t>
      </w:r>
    </w:p>
    <w:p w14:paraId="0CA65E53" w14:textId="6962ECFD" w:rsidR="00E634F5" w:rsidRPr="00A50E7E" w:rsidRDefault="00E634F5" w:rsidP="00E425B8">
      <w:pPr>
        <w:numPr>
          <w:ilvl w:val="0"/>
          <w:numId w:val="19"/>
        </w:numPr>
        <w:spacing w:before="120" w:after="120"/>
        <w:ind w:left="360" w:hanging="374"/>
        <w:rPr>
          <w:color w:val="000000"/>
          <w:lang w:val="id-ID"/>
        </w:rPr>
      </w:pPr>
      <w:r w:rsidRPr="00A50E7E">
        <w:rPr>
          <w:color w:val="000000"/>
          <w:lang w:val="id-ID"/>
        </w:rPr>
        <w:t>Profitabilitas (X</w:t>
      </w:r>
      <w:r w:rsidRPr="00A50E7E">
        <w:rPr>
          <w:color w:val="000000"/>
          <w:vertAlign w:val="subscript"/>
          <w:lang w:val="id-ID"/>
        </w:rPr>
        <w:t>2</w:t>
      </w:r>
      <w:r w:rsidRPr="00A50E7E">
        <w:rPr>
          <w:color w:val="000000"/>
          <w:lang w:val="id-ID"/>
        </w:rPr>
        <w:t xml:space="preserve">), berdasarkan hasil regresi </w:t>
      </w:r>
      <w:r w:rsidR="00E425B8" w:rsidRPr="00A50E7E">
        <w:rPr>
          <w:color w:val="000000"/>
          <w:lang w:val="id-ID"/>
        </w:rPr>
        <w:t>linear</w:t>
      </w:r>
      <w:r w:rsidRPr="00A50E7E">
        <w:rPr>
          <w:color w:val="000000"/>
          <w:lang w:val="id-ID"/>
        </w:rPr>
        <w:t xml:space="preserve"> berganda, diperoleh nilai </w:t>
      </w:r>
      <w:proofErr w:type="spellStart"/>
      <w:r w:rsidRPr="00A50E7E">
        <w:rPr>
          <w:i/>
          <w:color w:val="000000"/>
          <w:lang w:val="id-ID"/>
        </w:rPr>
        <w:t>coefficient</w:t>
      </w:r>
      <w:proofErr w:type="spellEnd"/>
      <w:r w:rsidRPr="00A50E7E">
        <w:rPr>
          <w:i/>
          <w:color w:val="000000"/>
          <w:lang w:val="id-ID"/>
        </w:rPr>
        <w:t xml:space="preserve"> </w:t>
      </w:r>
      <w:r w:rsidRPr="00A50E7E">
        <w:rPr>
          <w:color w:val="000000"/>
          <w:lang w:val="id-ID"/>
        </w:rPr>
        <w:t>Profitabilitas (X</w:t>
      </w:r>
      <w:r w:rsidRPr="00A50E7E">
        <w:rPr>
          <w:color w:val="000000"/>
          <w:vertAlign w:val="subscript"/>
          <w:lang w:val="id-ID"/>
        </w:rPr>
        <w:t>2</w:t>
      </w:r>
      <w:r w:rsidRPr="00A50E7E">
        <w:rPr>
          <w:color w:val="000000"/>
          <w:lang w:val="id-ID"/>
        </w:rPr>
        <w:t>) sebesar 0,2003 menunjukkan bahwa apabila Profitabilitas (X</w:t>
      </w:r>
      <w:r w:rsidRPr="00A50E7E">
        <w:rPr>
          <w:color w:val="000000"/>
          <w:vertAlign w:val="subscript"/>
          <w:lang w:val="id-ID"/>
        </w:rPr>
        <w:t>2</w:t>
      </w:r>
      <w:r w:rsidRPr="00A50E7E">
        <w:rPr>
          <w:color w:val="000000"/>
          <w:lang w:val="id-ID"/>
        </w:rPr>
        <w:t xml:space="preserve">) mengalami kenaikan satu persen, maka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akan meningkat (positif) sebesar 0,2003 persen dengan asumsi bawah Struktur Modal (X</w:t>
      </w:r>
      <w:r w:rsidRPr="00A50E7E">
        <w:rPr>
          <w:color w:val="000000"/>
          <w:vertAlign w:val="subscript"/>
          <w:lang w:val="id-ID"/>
        </w:rPr>
        <w:t>1</w:t>
      </w:r>
      <w:r w:rsidRPr="00A50E7E">
        <w:rPr>
          <w:color w:val="000000"/>
          <w:lang w:val="id-ID"/>
        </w:rPr>
        <w:t>) dan Ukuran Perusahaan (X</w:t>
      </w:r>
      <w:r w:rsidRPr="00A50E7E">
        <w:rPr>
          <w:color w:val="000000"/>
          <w:vertAlign w:val="subscript"/>
          <w:lang w:val="id-ID"/>
        </w:rPr>
        <w:t>3</w:t>
      </w:r>
      <w:r w:rsidRPr="00A50E7E">
        <w:rPr>
          <w:color w:val="000000"/>
          <w:lang w:val="id-ID"/>
        </w:rPr>
        <w:t>) konstan/ tetap.</w:t>
      </w:r>
    </w:p>
    <w:p w14:paraId="657D59D0" w14:textId="70C9253E" w:rsidR="00E634F5" w:rsidRPr="00A50E7E" w:rsidRDefault="00E634F5" w:rsidP="00E425B8">
      <w:pPr>
        <w:numPr>
          <w:ilvl w:val="0"/>
          <w:numId w:val="19"/>
        </w:numPr>
        <w:spacing w:before="120" w:after="120"/>
        <w:ind w:left="360" w:hanging="374"/>
        <w:rPr>
          <w:color w:val="000000"/>
          <w:lang w:val="id-ID"/>
        </w:rPr>
      </w:pPr>
      <w:r w:rsidRPr="00A50E7E">
        <w:rPr>
          <w:color w:val="000000"/>
          <w:lang w:val="id-ID"/>
        </w:rPr>
        <w:t>Ukuran Perusahaan (X</w:t>
      </w:r>
      <w:r w:rsidRPr="00A50E7E">
        <w:rPr>
          <w:color w:val="000000"/>
          <w:vertAlign w:val="subscript"/>
          <w:lang w:val="id-ID"/>
        </w:rPr>
        <w:t>3</w:t>
      </w:r>
      <w:r w:rsidRPr="00A50E7E">
        <w:rPr>
          <w:color w:val="000000"/>
          <w:lang w:val="id-ID"/>
        </w:rPr>
        <w:t xml:space="preserve">), berdasarkan hasil regresi </w:t>
      </w:r>
      <w:r w:rsidR="00E425B8" w:rsidRPr="00A50E7E">
        <w:rPr>
          <w:color w:val="000000"/>
          <w:lang w:val="id-ID"/>
        </w:rPr>
        <w:t>linear</w:t>
      </w:r>
      <w:r w:rsidRPr="00A50E7E">
        <w:rPr>
          <w:color w:val="000000"/>
          <w:lang w:val="id-ID"/>
        </w:rPr>
        <w:t xml:space="preserve"> berganda, diperoleh nilai </w:t>
      </w:r>
      <w:proofErr w:type="spellStart"/>
      <w:r w:rsidRPr="00A50E7E">
        <w:rPr>
          <w:i/>
          <w:color w:val="000000"/>
          <w:lang w:val="id-ID"/>
        </w:rPr>
        <w:t>coefficient</w:t>
      </w:r>
      <w:proofErr w:type="spellEnd"/>
      <w:r w:rsidRPr="00A50E7E">
        <w:rPr>
          <w:i/>
          <w:color w:val="000000"/>
          <w:lang w:val="id-ID"/>
        </w:rPr>
        <w:t xml:space="preserve"> </w:t>
      </w:r>
      <w:r w:rsidRPr="00A50E7E">
        <w:rPr>
          <w:color w:val="000000"/>
          <w:lang w:val="id-ID"/>
        </w:rPr>
        <w:t>Ukuran Perusahaan (X</w:t>
      </w:r>
      <w:r w:rsidRPr="00A50E7E">
        <w:rPr>
          <w:color w:val="000000"/>
          <w:vertAlign w:val="subscript"/>
          <w:lang w:val="id-ID"/>
        </w:rPr>
        <w:t>3</w:t>
      </w:r>
      <w:r w:rsidRPr="00A50E7E">
        <w:rPr>
          <w:color w:val="000000"/>
          <w:lang w:val="id-ID"/>
        </w:rPr>
        <w:t>) sebesar 0,4132 menunjukkan bahwa apabila Ukuran Perusahaan (X</w:t>
      </w:r>
      <w:r w:rsidRPr="00A50E7E">
        <w:rPr>
          <w:color w:val="000000"/>
          <w:vertAlign w:val="subscript"/>
          <w:lang w:val="id-ID"/>
        </w:rPr>
        <w:t>3</w:t>
      </w:r>
      <w:r w:rsidRPr="00A50E7E">
        <w:rPr>
          <w:color w:val="000000"/>
          <w:lang w:val="id-ID"/>
        </w:rPr>
        <w:t xml:space="preserve">) mengalami kenaikan satu persen, maka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akan meningkat (positif) sebesar 0,4132 persen dengan asumsi bawah Struktur Modal (X</w:t>
      </w:r>
      <w:r w:rsidRPr="00A50E7E">
        <w:rPr>
          <w:color w:val="000000"/>
          <w:vertAlign w:val="subscript"/>
          <w:lang w:val="id-ID"/>
        </w:rPr>
        <w:t>1</w:t>
      </w:r>
      <w:r w:rsidRPr="00A50E7E">
        <w:rPr>
          <w:color w:val="000000"/>
          <w:lang w:val="id-ID"/>
        </w:rPr>
        <w:t>) dan Profitabilitas (X2) konstan/ tetap.</w:t>
      </w:r>
    </w:p>
    <w:p w14:paraId="14EB5B3B" w14:textId="77777777" w:rsidR="00E634F5" w:rsidRPr="00A50E7E" w:rsidRDefault="00E634F5" w:rsidP="00DD60E7">
      <w:pPr>
        <w:numPr>
          <w:ilvl w:val="0"/>
          <w:numId w:val="13"/>
        </w:numPr>
        <w:spacing w:before="120" w:after="120"/>
        <w:ind w:left="426" w:hanging="426"/>
        <w:rPr>
          <w:color w:val="000000"/>
          <w:lang w:val="id-ID"/>
        </w:rPr>
      </w:pPr>
      <w:r w:rsidRPr="00A50E7E">
        <w:rPr>
          <w:color w:val="000000"/>
          <w:lang w:val="id-ID"/>
        </w:rPr>
        <w:t>Hasil Uji Hipotesis</w:t>
      </w:r>
    </w:p>
    <w:p w14:paraId="241791AB" w14:textId="77777777" w:rsidR="00E634F5" w:rsidRPr="00A50E7E" w:rsidRDefault="00E634F5" w:rsidP="00DD60E7">
      <w:pPr>
        <w:numPr>
          <w:ilvl w:val="0"/>
          <w:numId w:val="14"/>
        </w:numPr>
        <w:spacing w:before="120" w:after="120"/>
        <w:ind w:left="567" w:hanging="567"/>
        <w:rPr>
          <w:i/>
          <w:color w:val="000000"/>
          <w:lang w:val="id-ID"/>
        </w:rPr>
      </w:pPr>
      <w:r w:rsidRPr="00A50E7E">
        <w:rPr>
          <w:color w:val="000000"/>
          <w:lang w:val="id-ID"/>
        </w:rPr>
        <w:t xml:space="preserve">Hasil Uji Kelayakan Model </w:t>
      </w:r>
      <w:r w:rsidRPr="00A50E7E">
        <w:rPr>
          <w:i/>
          <w:color w:val="000000"/>
          <w:lang w:val="id-ID"/>
        </w:rPr>
        <w:t>(</w:t>
      </w:r>
      <w:proofErr w:type="spellStart"/>
      <w:r w:rsidRPr="00A50E7E">
        <w:rPr>
          <w:i/>
          <w:color w:val="000000"/>
          <w:lang w:val="id-ID"/>
        </w:rPr>
        <w:t>Goodness</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Fit)</w:t>
      </w:r>
    </w:p>
    <w:p w14:paraId="373C1F8B" w14:textId="61A178E8" w:rsidR="00E634F5" w:rsidRPr="00A50E7E" w:rsidRDefault="00E634F5" w:rsidP="00DD60E7">
      <w:pPr>
        <w:spacing w:before="120" w:after="120"/>
        <w:rPr>
          <w:color w:val="000000"/>
          <w:lang w:val="id-ID"/>
        </w:rPr>
      </w:pPr>
      <w:r w:rsidRPr="00A50E7E">
        <w:rPr>
          <w:color w:val="000000"/>
          <w:lang w:val="id-ID"/>
        </w:rPr>
        <w:t xml:space="preserve">Uji kelayakan model </w:t>
      </w:r>
      <w:r w:rsidRPr="00A50E7E">
        <w:rPr>
          <w:i/>
          <w:color w:val="000000"/>
          <w:lang w:val="id-ID"/>
        </w:rPr>
        <w:t>(</w:t>
      </w:r>
      <w:proofErr w:type="spellStart"/>
      <w:r w:rsidRPr="00A50E7E">
        <w:rPr>
          <w:i/>
          <w:color w:val="000000"/>
          <w:lang w:val="id-ID"/>
        </w:rPr>
        <w:t>goodness</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fit) </w:t>
      </w:r>
      <w:r w:rsidRPr="00A50E7E">
        <w:rPr>
          <w:color w:val="000000"/>
          <w:lang w:val="id-ID"/>
        </w:rPr>
        <w:t xml:space="preserve">adalah uji yang digunakan untuk melihat kelayakan suatu model regresi. </w:t>
      </w:r>
      <w:r w:rsidR="005E3976" w:rsidRPr="00A50E7E">
        <w:rPr>
          <w:color w:val="000000"/>
        </w:rPr>
        <w:t xml:space="preserve">Hasil uji </w:t>
      </w:r>
      <w:proofErr w:type="spellStart"/>
      <w:r w:rsidR="005E3976" w:rsidRPr="00A50E7E">
        <w:rPr>
          <w:color w:val="000000"/>
        </w:rPr>
        <w:t>tersebut</w:t>
      </w:r>
      <w:proofErr w:type="spellEnd"/>
      <w:r w:rsidR="005E3976" w:rsidRPr="00A50E7E">
        <w:rPr>
          <w:color w:val="000000"/>
        </w:rPr>
        <w:t xml:space="preserve"> </w:t>
      </w:r>
      <w:proofErr w:type="spellStart"/>
      <w:r w:rsidR="005E3976" w:rsidRPr="00A50E7E">
        <w:rPr>
          <w:color w:val="000000"/>
        </w:rPr>
        <w:t>dapat</w:t>
      </w:r>
      <w:proofErr w:type="spellEnd"/>
      <w:r w:rsidR="005E3976" w:rsidRPr="00A50E7E">
        <w:rPr>
          <w:color w:val="000000"/>
        </w:rPr>
        <w:t xml:space="preserve"> </w:t>
      </w:r>
      <w:proofErr w:type="spellStart"/>
      <w:r w:rsidR="005E3976" w:rsidRPr="00A50E7E">
        <w:rPr>
          <w:color w:val="000000"/>
        </w:rPr>
        <w:t>dilihat</w:t>
      </w:r>
      <w:proofErr w:type="spellEnd"/>
      <w:r w:rsidR="005E3976" w:rsidRPr="00A50E7E">
        <w:rPr>
          <w:color w:val="000000"/>
        </w:rPr>
        <w:t xml:space="preserve"> pada </w:t>
      </w:r>
      <w:proofErr w:type="spellStart"/>
      <w:r w:rsidR="005E3976" w:rsidRPr="00A50E7E">
        <w:rPr>
          <w:color w:val="000000"/>
        </w:rPr>
        <w:t>Tabel</w:t>
      </w:r>
      <w:proofErr w:type="spellEnd"/>
      <w:r w:rsidR="005E3976" w:rsidRPr="00A50E7E">
        <w:rPr>
          <w:color w:val="000000"/>
        </w:rPr>
        <w:t xml:space="preserve"> 4. </w:t>
      </w:r>
      <w:r w:rsidRPr="00A50E7E">
        <w:rPr>
          <w:color w:val="000000"/>
          <w:lang w:val="id-ID"/>
        </w:rPr>
        <w:t>Dasar pengambilan keputusan uji statistik F ialah sebagai berikut:</w:t>
      </w:r>
    </w:p>
    <w:p w14:paraId="1892E9D8" w14:textId="77777777" w:rsidR="00E634F5" w:rsidRPr="00A50E7E" w:rsidRDefault="00E634F5" w:rsidP="00E425B8">
      <w:pPr>
        <w:numPr>
          <w:ilvl w:val="1"/>
          <w:numId w:val="20"/>
        </w:numPr>
        <w:spacing w:before="120" w:after="120"/>
        <w:ind w:left="360" w:hanging="360"/>
        <w:rPr>
          <w:color w:val="000000"/>
          <w:lang w:val="id-ID"/>
        </w:rPr>
      </w:pPr>
      <w:r w:rsidRPr="00A50E7E">
        <w:rPr>
          <w:color w:val="000000"/>
          <w:lang w:val="id-ID"/>
        </w:rPr>
        <w:t xml:space="preserve">Jika nilai </w:t>
      </w:r>
      <w:proofErr w:type="spellStart"/>
      <w:r w:rsidRPr="00A50E7E">
        <w:rPr>
          <w:color w:val="000000"/>
          <w:lang w:val="id-ID"/>
        </w:rPr>
        <w:t>F</w:t>
      </w:r>
      <w:r w:rsidRPr="00A50E7E">
        <w:rPr>
          <w:color w:val="000000"/>
          <w:vertAlign w:val="subscript"/>
          <w:lang w:val="id-ID"/>
        </w:rPr>
        <w:t>hitung</w:t>
      </w:r>
      <w:proofErr w:type="spellEnd"/>
      <w:r w:rsidRPr="00A50E7E">
        <w:rPr>
          <w:color w:val="000000"/>
          <w:lang w:val="id-ID"/>
        </w:rPr>
        <w:t xml:space="preserve"> &lt;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dan nilai probabilitas &gt; nilai α 0,05, maka H</w:t>
      </w:r>
      <w:r w:rsidRPr="00A50E7E">
        <w:rPr>
          <w:color w:val="000000"/>
          <w:vertAlign w:val="subscript"/>
          <w:lang w:val="id-ID"/>
        </w:rPr>
        <w:t>0</w:t>
      </w:r>
      <w:r w:rsidRPr="00A50E7E">
        <w:rPr>
          <w:color w:val="000000"/>
          <w:lang w:val="id-ID"/>
        </w:rPr>
        <w:t xml:space="preserve"> diterima (model tidak layak digunakan).</w:t>
      </w:r>
    </w:p>
    <w:p w14:paraId="5721CED8" w14:textId="77777777" w:rsidR="00E634F5" w:rsidRPr="00A50E7E" w:rsidRDefault="00E634F5" w:rsidP="00E425B8">
      <w:pPr>
        <w:numPr>
          <w:ilvl w:val="1"/>
          <w:numId w:val="20"/>
        </w:numPr>
        <w:spacing w:before="120" w:after="120"/>
        <w:ind w:left="360" w:hanging="360"/>
        <w:rPr>
          <w:color w:val="000000"/>
          <w:lang w:val="id-ID"/>
        </w:rPr>
      </w:pPr>
      <w:r w:rsidRPr="00A50E7E">
        <w:rPr>
          <w:color w:val="000000"/>
          <w:lang w:val="id-ID"/>
        </w:rPr>
        <w:lastRenderedPageBreak/>
        <w:t xml:space="preserve">Jika nilai </w:t>
      </w:r>
      <w:proofErr w:type="spellStart"/>
      <w:r w:rsidRPr="00A50E7E">
        <w:rPr>
          <w:color w:val="000000"/>
          <w:lang w:val="id-ID"/>
        </w:rPr>
        <w:t>F</w:t>
      </w:r>
      <w:r w:rsidRPr="00A50E7E">
        <w:rPr>
          <w:color w:val="000000"/>
          <w:vertAlign w:val="subscript"/>
          <w:lang w:val="id-ID"/>
        </w:rPr>
        <w:t>hitung</w:t>
      </w:r>
      <w:proofErr w:type="spellEnd"/>
      <w:r w:rsidRPr="00A50E7E">
        <w:rPr>
          <w:color w:val="000000"/>
          <w:lang w:val="id-ID"/>
        </w:rPr>
        <w:t xml:space="preserve"> &gt;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dan nilai probabilitas &lt; nilai α 0,05, maka H</w:t>
      </w:r>
      <w:r w:rsidRPr="00A50E7E">
        <w:rPr>
          <w:color w:val="000000"/>
          <w:vertAlign w:val="subscript"/>
          <w:lang w:val="id-ID"/>
        </w:rPr>
        <w:t>0</w:t>
      </w:r>
      <w:r w:rsidRPr="00A50E7E">
        <w:rPr>
          <w:color w:val="000000"/>
          <w:lang w:val="id-ID"/>
        </w:rPr>
        <w:t xml:space="preserve"> ditolak (model layak digunakan).</w:t>
      </w:r>
    </w:p>
    <w:p w14:paraId="47092A55" w14:textId="352D5EF5" w:rsidR="00E634F5" w:rsidRPr="00A50E7E" w:rsidRDefault="00E634F5" w:rsidP="00DD60E7">
      <w:pPr>
        <w:spacing w:before="120" w:after="120"/>
        <w:rPr>
          <w:color w:val="000000"/>
          <w:lang w:val="id-ID"/>
        </w:rPr>
      </w:pPr>
      <w:r w:rsidRPr="00A50E7E">
        <w:rPr>
          <w:color w:val="000000"/>
          <w:lang w:val="id-ID"/>
        </w:rPr>
        <w:t xml:space="preserve">Adapun dalam mencari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hal yang wajib diketahui sebelumnya ialah sebagai berikut:</w:t>
      </w:r>
    </w:p>
    <w:p w14:paraId="28A0B57F" w14:textId="418E4B88"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color w:val="000000"/>
          <w:lang w:val="id-ID"/>
        </w:rPr>
        <w:t>Jumlah variabel penelitian (k): 4</w:t>
      </w:r>
    </w:p>
    <w:p w14:paraId="1EE5B82F" w14:textId="548E6E11"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color w:val="000000"/>
          <w:lang w:val="id-ID"/>
        </w:rPr>
        <w:t>Jumlah observasi/ data/ responden (n): 175</w:t>
      </w:r>
    </w:p>
    <w:p w14:paraId="127495A3" w14:textId="2D206083"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color w:val="000000"/>
          <w:lang w:val="id-ID"/>
        </w:rPr>
        <w:t>Signifikansi menggunakan satu sisi (</w:t>
      </w:r>
      <w:proofErr w:type="spellStart"/>
      <w:r w:rsidRPr="00A50E7E">
        <w:rPr>
          <w:color w:val="000000"/>
          <w:lang w:val="id-ID"/>
        </w:rPr>
        <w:t>sign</w:t>
      </w:r>
      <w:proofErr w:type="spellEnd"/>
      <w:r w:rsidRPr="00A50E7E">
        <w:rPr>
          <w:color w:val="000000"/>
          <w:lang w:val="id-ID"/>
        </w:rPr>
        <w:t>): 0,050</w:t>
      </w:r>
    </w:p>
    <w:p w14:paraId="4E23477F" w14:textId="78FAF590"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color w:val="000000"/>
          <w:lang w:val="id-ID"/>
        </w:rPr>
        <w:t xml:space="preserve">Persamaan 2 untuk mencari </w:t>
      </w:r>
      <w:proofErr w:type="spellStart"/>
      <w:r w:rsidRPr="00A50E7E">
        <w:rPr>
          <w:i/>
          <w:color w:val="000000"/>
          <w:lang w:val="id-ID"/>
        </w:rPr>
        <w:t>degree</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w:t>
      </w:r>
      <w:proofErr w:type="spellStart"/>
      <w:r w:rsidRPr="00A50E7E">
        <w:rPr>
          <w:i/>
          <w:color w:val="000000"/>
          <w:lang w:val="id-ID"/>
        </w:rPr>
        <w:t>freedom</w:t>
      </w:r>
      <w:proofErr w:type="spellEnd"/>
      <w:r w:rsidRPr="00A50E7E">
        <w:rPr>
          <w:i/>
          <w:color w:val="000000"/>
          <w:lang w:val="id-ID"/>
        </w:rPr>
        <w:t xml:space="preserve"> </w:t>
      </w:r>
      <w:r w:rsidRPr="00A50E7E">
        <w:rPr>
          <w:iCs/>
          <w:color w:val="000000"/>
          <w:lang w:val="id-ID"/>
        </w:rPr>
        <w:t>(df1) atau derajat bebas</w:t>
      </w:r>
    </w:p>
    <w:p w14:paraId="4EAB7EE3" w14:textId="404DF040"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iCs/>
          <w:color w:val="000000"/>
          <w:lang w:val="id-ID"/>
        </w:rPr>
        <w:t xml:space="preserve">Persamaan 3 untuk mencari </w:t>
      </w:r>
      <w:proofErr w:type="spellStart"/>
      <w:r w:rsidRPr="00A50E7E">
        <w:rPr>
          <w:i/>
          <w:iCs/>
          <w:color w:val="000000"/>
          <w:lang w:val="id-ID"/>
        </w:rPr>
        <w:t>degree</w:t>
      </w:r>
      <w:proofErr w:type="spellEnd"/>
      <w:r w:rsidRPr="00A50E7E">
        <w:rPr>
          <w:i/>
          <w:iCs/>
          <w:color w:val="000000"/>
          <w:lang w:val="id-ID"/>
        </w:rPr>
        <w:t xml:space="preserve"> </w:t>
      </w:r>
      <w:proofErr w:type="spellStart"/>
      <w:r w:rsidRPr="00A50E7E">
        <w:rPr>
          <w:i/>
          <w:iCs/>
          <w:color w:val="000000"/>
          <w:lang w:val="id-ID"/>
        </w:rPr>
        <w:t>of</w:t>
      </w:r>
      <w:proofErr w:type="spellEnd"/>
      <w:r w:rsidRPr="00A50E7E">
        <w:rPr>
          <w:i/>
          <w:iCs/>
          <w:color w:val="000000"/>
          <w:lang w:val="id-ID"/>
        </w:rPr>
        <w:t xml:space="preserve"> </w:t>
      </w:r>
      <w:proofErr w:type="spellStart"/>
      <w:r w:rsidRPr="00A50E7E">
        <w:rPr>
          <w:i/>
          <w:iCs/>
          <w:color w:val="000000"/>
          <w:lang w:val="id-ID"/>
        </w:rPr>
        <w:t>freedom</w:t>
      </w:r>
      <w:proofErr w:type="spellEnd"/>
      <w:r w:rsidRPr="00A50E7E">
        <w:rPr>
          <w:i/>
          <w:iCs/>
          <w:color w:val="000000"/>
          <w:lang w:val="id-ID"/>
        </w:rPr>
        <w:t xml:space="preserve"> </w:t>
      </w:r>
      <w:r w:rsidRPr="00A50E7E">
        <w:rPr>
          <w:iCs/>
          <w:color w:val="000000"/>
          <w:lang w:val="id-ID"/>
        </w:rPr>
        <w:t>(df</w:t>
      </w:r>
      <w:r w:rsidRPr="00A50E7E">
        <w:rPr>
          <w:iCs/>
          <w:color w:val="000000"/>
          <w:vertAlign w:val="subscript"/>
          <w:lang w:val="id-ID"/>
        </w:rPr>
        <w:t>2</w:t>
      </w:r>
      <w:r w:rsidRPr="00A50E7E">
        <w:rPr>
          <w:iCs/>
          <w:color w:val="000000"/>
          <w:lang w:val="id-ID"/>
        </w:rPr>
        <w:t>) atau derajat bebas</w:t>
      </w:r>
    </w:p>
    <w:p w14:paraId="0906A909" w14:textId="7721666D" w:rsidR="005E3976" w:rsidRPr="00A50E7E" w:rsidRDefault="005E3976" w:rsidP="00716970">
      <w:pPr>
        <w:pStyle w:val="ListParagraph"/>
        <w:numPr>
          <w:ilvl w:val="0"/>
          <w:numId w:val="21"/>
        </w:numPr>
        <w:spacing w:before="120" w:after="120"/>
        <w:ind w:left="360"/>
        <w:contextualSpacing w:val="0"/>
        <w:rPr>
          <w:color w:val="000000"/>
          <w:lang w:val="id-ID"/>
        </w:rPr>
      </w:pPr>
      <w:r w:rsidRPr="00A50E7E">
        <w:rPr>
          <w:iCs/>
          <w:color w:val="000000"/>
          <w:lang w:val="id-ID"/>
        </w:rPr>
        <w:t xml:space="preserve">Nilai </w:t>
      </w:r>
      <w:proofErr w:type="spellStart"/>
      <w:r w:rsidRPr="00A50E7E">
        <w:rPr>
          <w:iCs/>
          <w:color w:val="000000"/>
          <w:lang w:val="id-ID"/>
        </w:rPr>
        <w:t>F</w:t>
      </w:r>
      <w:r w:rsidRPr="00A50E7E">
        <w:rPr>
          <w:iCs/>
          <w:color w:val="000000"/>
          <w:vertAlign w:val="subscript"/>
          <w:lang w:val="id-ID"/>
        </w:rPr>
        <w:t>tabel</w:t>
      </w:r>
      <w:proofErr w:type="spellEnd"/>
      <w:r w:rsidRPr="00A50E7E">
        <w:rPr>
          <w:iCs/>
          <w:color w:val="000000"/>
          <w:lang w:val="id-ID"/>
        </w:rPr>
        <w:t>:</w:t>
      </w:r>
      <w:r w:rsidRPr="00A50E7E">
        <w:rPr>
          <w:iCs/>
          <w:color w:val="000000"/>
          <w:vertAlign w:val="subscript"/>
          <w:lang w:val="id-ID"/>
        </w:rPr>
        <w:t xml:space="preserve"> </w:t>
      </w:r>
      <w:r w:rsidRPr="00A50E7E">
        <w:rPr>
          <w:color w:val="000000"/>
          <w:lang w:val="id-ID"/>
        </w:rPr>
        <w:t>2,66</w:t>
      </w:r>
    </w:p>
    <w:p w14:paraId="57636526" w14:textId="2E6B51DC" w:rsidR="005E3976" w:rsidRPr="00A50E7E" w:rsidRDefault="00634114" w:rsidP="00716970">
      <w:pPr>
        <w:spacing w:before="120" w:after="120"/>
        <w:ind w:firstLine="360"/>
        <w:rPr>
          <w:color w:val="000000"/>
        </w:rPr>
      </w:pPr>
      <m:oMath>
        <m:sSub>
          <m:sSubPr>
            <m:ctrlPr>
              <w:rPr>
                <w:rFonts w:ascii="Cambria Math" w:hAnsi="Cambria Math"/>
                <w:color w:val="000000"/>
                <w:vertAlign w:val="subscript"/>
                <w:lang w:val="id-ID"/>
              </w:rPr>
            </m:ctrlPr>
          </m:sSubPr>
          <m:e>
            <m:r>
              <m:rPr>
                <m:sty m:val="p"/>
              </m:rPr>
              <w:rPr>
                <w:rFonts w:ascii="Cambria Math" w:hAnsi="Cambria Math"/>
                <w:color w:val="000000"/>
                <w:lang w:val="id-ID"/>
              </w:rPr>
              <m:t>df</m:t>
            </m:r>
          </m:e>
          <m:sub>
            <m:r>
              <w:rPr>
                <w:rFonts w:ascii="Cambria Math" w:hAnsi="Cambria Math"/>
                <w:color w:val="000000"/>
                <w:vertAlign w:val="subscript"/>
                <w:lang w:val="id-ID"/>
              </w:rPr>
              <m:t>1</m:t>
            </m:r>
          </m:sub>
        </m:sSub>
        <m:r>
          <m:rPr>
            <m:sty m:val="p"/>
          </m:rPr>
          <w:rPr>
            <w:rFonts w:ascii="Cambria Math" w:hAnsi="Cambria Math"/>
            <w:color w:val="000000"/>
            <w:lang w:val="id-ID"/>
          </w:rPr>
          <m:t>=k – 1</m:t>
        </m:r>
      </m:oMath>
      <w:r w:rsidR="005E3976" w:rsidRPr="00A50E7E">
        <w:rPr>
          <w:color w:val="000000"/>
          <w:lang w:val="id-ID"/>
        </w:rPr>
        <w:tab/>
      </w:r>
      <w:r w:rsidR="005E3976" w:rsidRPr="00A50E7E">
        <w:rPr>
          <w:color w:val="000000"/>
          <w:lang w:val="id-ID"/>
        </w:rPr>
        <w:tab/>
      </w:r>
      <w:r w:rsidR="005E3976" w:rsidRPr="00A50E7E">
        <w:rPr>
          <w:color w:val="000000"/>
          <w:lang w:val="id-ID"/>
        </w:rPr>
        <w:tab/>
      </w:r>
      <w:r w:rsidR="005E3976" w:rsidRPr="00A50E7E">
        <w:rPr>
          <w:color w:val="000000"/>
          <w:lang w:val="id-ID"/>
        </w:rPr>
        <w:tab/>
      </w:r>
      <w:r w:rsidR="005E3976" w:rsidRPr="00A50E7E">
        <w:rPr>
          <w:color w:val="000000"/>
        </w:rPr>
        <w:t>(2)</w:t>
      </w:r>
    </w:p>
    <w:p w14:paraId="1406F339" w14:textId="6374758E" w:rsidR="005E3976" w:rsidRPr="00A50E7E" w:rsidRDefault="005E3976" w:rsidP="00716970">
      <w:pPr>
        <w:spacing w:before="120" w:after="120"/>
        <w:ind w:firstLine="360"/>
        <w:rPr>
          <w:color w:val="000000"/>
        </w:rPr>
      </w:pPr>
      <w:r w:rsidRPr="00A50E7E">
        <w:rPr>
          <w:color w:val="000000"/>
          <w:lang w:val="id-ID"/>
        </w:rPr>
        <w:t>df</w:t>
      </w:r>
      <w:r w:rsidRPr="00A50E7E">
        <w:rPr>
          <w:color w:val="000000"/>
          <w:vertAlign w:val="subscript"/>
          <w:lang w:val="id-ID"/>
        </w:rPr>
        <w:t>2</w:t>
      </w:r>
      <w:r w:rsidRPr="00A50E7E">
        <w:rPr>
          <w:color w:val="000000"/>
          <w:lang w:val="id-ID"/>
        </w:rPr>
        <w:t xml:space="preserve"> = n – k</w:t>
      </w:r>
      <w:r w:rsidRPr="00A50E7E">
        <w:rPr>
          <w:color w:val="000000"/>
          <w:lang w:val="id-ID"/>
        </w:rPr>
        <w:tab/>
      </w:r>
      <w:r w:rsidRPr="00A50E7E">
        <w:rPr>
          <w:color w:val="000000"/>
          <w:lang w:val="id-ID"/>
        </w:rPr>
        <w:tab/>
      </w:r>
      <w:r w:rsidRPr="00A50E7E">
        <w:rPr>
          <w:color w:val="000000"/>
          <w:lang w:val="id-ID"/>
        </w:rPr>
        <w:tab/>
      </w:r>
      <w:r w:rsidRPr="00A50E7E">
        <w:rPr>
          <w:color w:val="000000"/>
          <w:lang w:val="id-ID"/>
        </w:rPr>
        <w:tab/>
      </w:r>
      <w:r w:rsidRPr="00A50E7E">
        <w:rPr>
          <w:color w:val="000000"/>
        </w:rPr>
        <w:t>(3)</w:t>
      </w:r>
    </w:p>
    <w:p w14:paraId="34BC19ED" w14:textId="77777777" w:rsidR="00E634F5" w:rsidRPr="00A50E7E" w:rsidRDefault="00E634F5" w:rsidP="00716970">
      <w:pPr>
        <w:spacing w:before="120" w:after="120"/>
        <w:rPr>
          <w:color w:val="000000"/>
          <w:lang w:val="id-ID"/>
        </w:rPr>
      </w:pPr>
      <w:r w:rsidRPr="00A50E7E">
        <w:rPr>
          <w:color w:val="000000"/>
          <w:lang w:val="id-ID"/>
        </w:rPr>
        <w:t>Jadi df</w:t>
      </w:r>
      <w:r w:rsidRPr="00A50E7E">
        <w:rPr>
          <w:color w:val="000000"/>
          <w:vertAlign w:val="subscript"/>
          <w:lang w:val="id-ID"/>
        </w:rPr>
        <w:t>1</w:t>
      </w:r>
      <w:r w:rsidRPr="00A50E7E">
        <w:rPr>
          <w:color w:val="000000"/>
          <w:lang w:val="id-ID"/>
        </w:rPr>
        <w:t xml:space="preserve"> = 4 – 1 = 3, nilai df</w:t>
      </w:r>
      <w:r w:rsidRPr="00A50E7E">
        <w:rPr>
          <w:color w:val="000000"/>
          <w:vertAlign w:val="subscript"/>
          <w:lang w:val="id-ID"/>
        </w:rPr>
        <w:t>1</w:t>
      </w:r>
      <w:r w:rsidRPr="00A50E7E">
        <w:rPr>
          <w:color w:val="000000"/>
          <w:lang w:val="id-ID"/>
        </w:rPr>
        <w:t xml:space="preserve"> sebesar 3 dan df</w:t>
      </w:r>
      <w:r w:rsidRPr="00A50E7E">
        <w:rPr>
          <w:color w:val="000000"/>
          <w:vertAlign w:val="subscript"/>
          <w:lang w:val="id-ID"/>
        </w:rPr>
        <w:t>2</w:t>
      </w:r>
      <w:r w:rsidRPr="00A50E7E">
        <w:rPr>
          <w:color w:val="000000"/>
          <w:lang w:val="id-ID"/>
        </w:rPr>
        <w:t xml:space="preserve"> = 175 – 4 = 171, nilai df</w:t>
      </w:r>
      <w:r w:rsidRPr="00A50E7E">
        <w:rPr>
          <w:color w:val="000000"/>
          <w:vertAlign w:val="subscript"/>
          <w:lang w:val="id-ID"/>
        </w:rPr>
        <w:t>2</w:t>
      </w:r>
      <w:r w:rsidRPr="00A50E7E">
        <w:rPr>
          <w:color w:val="000000"/>
          <w:lang w:val="id-ID"/>
        </w:rPr>
        <w:t xml:space="preserve"> sebesar 171. Maka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adalah 2,66.</w:t>
      </w:r>
    </w:p>
    <w:p w14:paraId="3C89C1FF" w14:textId="77777777" w:rsidR="005E3976" w:rsidRPr="00A50E7E" w:rsidRDefault="005E3976" w:rsidP="00DD60E7">
      <w:pPr>
        <w:spacing w:before="120" w:after="120"/>
        <w:jc w:val="center"/>
        <w:rPr>
          <w:color w:val="000000"/>
          <w:sz w:val="16"/>
          <w:szCs w:val="18"/>
          <w:lang w:val="id-ID"/>
        </w:rPr>
        <w:sectPr w:rsidR="005E3976" w:rsidRPr="00A50E7E" w:rsidSect="00111E7B">
          <w:type w:val="continuous"/>
          <w:pgSz w:w="11906" w:h="16838"/>
          <w:pgMar w:top="1344" w:right="1411" w:bottom="1411" w:left="1411" w:header="706" w:footer="706" w:gutter="0"/>
          <w:cols w:num="2" w:space="156"/>
          <w:docGrid w:linePitch="360"/>
        </w:sectPr>
      </w:pPr>
    </w:p>
    <w:p w14:paraId="2F3B5CD6" w14:textId="7236D4AC" w:rsidR="00E634F5" w:rsidRPr="00A50E7E" w:rsidRDefault="00E634F5" w:rsidP="00DD60E7">
      <w:pPr>
        <w:spacing w:before="120" w:after="120"/>
        <w:jc w:val="center"/>
        <w:rPr>
          <w:color w:val="000000"/>
          <w:sz w:val="16"/>
          <w:szCs w:val="18"/>
          <w:lang w:val="id-ID"/>
        </w:rPr>
      </w:pPr>
      <w:r w:rsidRPr="00A50E7E">
        <w:rPr>
          <w:color w:val="000000"/>
          <w:sz w:val="16"/>
          <w:szCs w:val="18"/>
          <w:lang w:val="id-ID"/>
        </w:rPr>
        <w:t>Tabel 4. Hasil Uji Kelayakan Model (</w:t>
      </w:r>
      <w:proofErr w:type="spellStart"/>
      <w:r w:rsidRPr="00A50E7E">
        <w:rPr>
          <w:i/>
          <w:color w:val="000000"/>
          <w:sz w:val="16"/>
          <w:szCs w:val="18"/>
          <w:lang w:val="id-ID"/>
        </w:rPr>
        <w:t>Goodness</w:t>
      </w:r>
      <w:proofErr w:type="spellEnd"/>
      <w:r w:rsidRPr="00A50E7E">
        <w:rPr>
          <w:i/>
          <w:color w:val="000000"/>
          <w:sz w:val="16"/>
          <w:szCs w:val="18"/>
          <w:lang w:val="id-ID"/>
        </w:rPr>
        <w:t xml:space="preserve"> </w:t>
      </w:r>
      <w:proofErr w:type="spellStart"/>
      <w:r w:rsidRPr="00A50E7E">
        <w:rPr>
          <w:i/>
          <w:color w:val="000000"/>
          <w:sz w:val="16"/>
          <w:szCs w:val="18"/>
          <w:lang w:val="id-ID"/>
        </w:rPr>
        <w:t>of</w:t>
      </w:r>
      <w:proofErr w:type="spellEnd"/>
      <w:r w:rsidRPr="00A50E7E">
        <w:rPr>
          <w:i/>
          <w:color w:val="000000"/>
          <w:sz w:val="16"/>
          <w:szCs w:val="18"/>
          <w:lang w:val="id-ID"/>
        </w:rPr>
        <w:t xml:space="preserve"> Fit</w:t>
      </w:r>
      <w:r w:rsidRPr="00A50E7E">
        <w:rPr>
          <w:color w:val="000000"/>
          <w:sz w:val="16"/>
          <w:szCs w:val="18"/>
          <w:lang w:val="id-ID"/>
        </w:rPr>
        <w:t>)</w:t>
      </w:r>
    </w:p>
    <w:tbl>
      <w:tblPr>
        <w:tblW w:w="0" w:type="auto"/>
        <w:jc w:val="center"/>
        <w:tblBorders>
          <w:top w:val="single" w:sz="4" w:space="0" w:color="auto"/>
          <w:bottom w:val="single" w:sz="4" w:space="0" w:color="auto"/>
        </w:tblBorders>
        <w:tblCellMar>
          <w:left w:w="58" w:type="dxa"/>
          <w:right w:w="58" w:type="dxa"/>
        </w:tblCellMar>
        <w:tblLook w:val="01E0" w:firstRow="1" w:lastRow="1" w:firstColumn="1" w:lastColumn="1" w:noHBand="0" w:noVBand="0"/>
      </w:tblPr>
      <w:tblGrid>
        <w:gridCol w:w="5634"/>
        <w:gridCol w:w="556"/>
        <w:gridCol w:w="389"/>
        <w:gridCol w:w="873"/>
        <w:gridCol w:w="399"/>
        <w:gridCol w:w="1233"/>
      </w:tblGrid>
      <w:tr w:rsidR="007206AB" w:rsidRPr="00A50E7E" w14:paraId="7B3866C6" w14:textId="77777777" w:rsidTr="00046BFC">
        <w:trPr>
          <w:trHeight w:val="20"/>
          <w:jc w:val="center"/>
        </w:trPr>
        <w:tc>
          <w:tcPr>
            <w:tcW w:w="0" w:type="auto"/>
            <w:tcBorders>
              <w:top w:val="single" w:sz="12" w:space="0" w:color="auto"/>
              <w:bottom w:val="single" w:sz="2" w:space="0" w:color="auto"/>
            </w:tcBorders>
            <w:shd w:val="clear" w:color="auto" w:fill="auto"/>
            <w:vAlign w:val="center"/>
          </w:tcPr>
          <w:p w14:paraId="13653903" w14:textId="77777777" w:rsidR="007206AB" w:rsidRPr="00A50E7E" w:rsidRDefault="007206AB" w:rsidP="00DD60E7">
            <w:pPr>
              <w:widowControl w:val="0"/>
              <w:autoSpaceDE w:val="0"/>
              <w:autoSpaceDN w:val="0"/>
              <w:spacing w:after="0"/>
              <w:jc w:val="left"/>
              <w:rPr>
                <w:rFonts w:eastAsia="Times New Roman"/>
                <w:bCs/>
                <w:sz w:val="16"/>
                <w:szCs w:val="16"/>
                <w:lang w:val="id-ID"/>
              </w:rPr>
            </w:pPr>
            <w:r w:rsidRPr="00A50E7E">
              <w:rPr>
                <w:rFonts w:eastAsia="Times New Roman"/>
                <w:bCs/>
                <w:sz w:val="16"/>
                <w:szCs w:val="16"/>
                <w:lang w:val="id-ID"/>
              </w:rPr>
              <w:t>Variabel</w:t>
            </w:r>
            <w:r w:rsidRPr="00A50E7E">
              <w:rPr>
                <w:rFonts w:eastAsia="Times New Roman"/>
                <w:bCs/>
                <w:spacing w:val="-2"/>
                <w:sz w:val="16"/>
                <w:szCs w:val="16"/>
                <w:lang w:val="id-ID"/>
              </w:rPr>
              <w:t xml:space="preserve"> Penelitian</w:t>
            </w:r>
          </w:p>
        </w:tc>
        <w:tc>
          <w:tcPr>
            <w:tcW w:w="0" w:type="auto"/>
            <w:tcBorders>
              <w:top w:val="single" w:sz="12" w:space="0" w:color="auto"/>
              <w:bottom w:val="single" w:sz="2" w:space="0" w:color="auto"/>
            </w:tcBorders>
            <w:shd w:val="clear" w:color="auto" w:fill="auto"/>
            <w:vAlign w:val="center"/>
          </w:tcPr>
          <w:p w14:paraId="2D48F591" w14:textId="77777777" w:rsidR="007206AB" w:rsidRPr="00A50E7E" w:rsidRDefault="007206AB" w:rsidP="00716970">
            <w:pPr>
              <w:widowControl w:val="0"/>
              <w:autoSpaceDE w:val="0"/>
              <w:autoSpaceDN w:val="0"/>
              <w:spacing w:before="1" w:after="0"/>
              <w:ind w:left="12" w:right="8"/>
              <w:jc w:val="right"/>
              <w:rPr>
                <w:rFonts w:eastAsia="Times New Roman"/>
                <w:bCs/>
                <w:sz w:val="16"/>
                <w:szCs w:val="16"/>
                <w:lang w:val="id-ID"/>
              </w:rPr>
            </w:pPr>
            <w:r w:rsidRPr="00A50E7E">
              <w:rPr>
                <w:rFonts w:eastAsia="Times New Roman"/>
                <w:bCs/>
                <w:spacing w:val="-2"/>
                <w:position w:val="1"/>
                <w:sz w:val="16"/>
                <w:szCs w:val="16"/>
                <w:lang w:val="id-ID"/>
              </w:rPr>
              <w:t>F</w:t>
            </w:r>
            <w:r w:rsidRPr="00A50E7E">
              <w:rPr>
                <w:rFonts w:eastAsia="Times New Roman"/>
                <w:bCs/>
                <w:spacing w:val="-2"/>
                <w:sz w:val="16"/>
                <w:szCs w:val="16"/>
                <w:vertAlign w:val="subscript"/>
                <w:lang w:val="id-ID"/>
              </w:rPr>
              <w:t>hitung</w:t>
            </w:r>
          </w:p>
        </w:tc>
        <w:tc>
          <w:tcPr>
            <w:tcW w:w="0" w:type="auto"/>
            <w:tcBorders>
              <w:top w:val="single" w:sz="12" w:space="0" w:color="auto"/>
              <w:bottom w:val="single" w:sz="2" w:space="0" w:color="auto"/>
            </w:tcBorders>
            <w:shd w:val="clear" w:color="auto" w:fill="auto"/>
            <w:vAlign w:val="center"/>
          </w:tcPr>
          <w:p w14:paraId="63018E78" w14:textId="77777777" w:rsidR="007206AB" w:rsidRPr="00A50E7E" w:rsidRDefault="007206AB" w:rsidP="00716970">
            <w:pPr>
              <w:widowControl w:val="0"/>
              <w:autoSpaceDE w:val="0"/>
              <w:autoSpaceDN w:val="0"/>
              <w:spacing w:before="1" w:after="0"/>
              <w:ind w:left="1"/>
              <w:jc w:val="right"/>
              <w:rPr>
                <w:rFonts w:eastAsia="Times New Roman"/>
                <w:bCs/>
                <w:sz w:val="16"/>
                <w:szCs w:val="16"/>
                <w:lang w:val="id-ID"/>
              </w:rPr>
            </w:pPr>
            <w:r w:rsidRPr="00A50E7E">
              <w:rPr>
                <w:rFonts w:eastAsia="Times New Roman"/>
                <w:bCs/>
                <w:spacing w:val="-2"/>
                <w:position w:val="1"/>
                <w:sz w:val="16"/>
                <w:szCs w:val="16"/>
                <w:lang w:val="id-ID"/>
              </w:rPr>
              <w:t>F</w:t>
            </w:r>
            <w:r w:rsidRPr="00A50E7E">
              <w:rPr>
                <w:rFonts w:eastAsia="Times New Roman"/>
                <w:bCs/>
                <w:spacing w:val="-2"/>
                <w:sz w:val="16"/>
                <w:szCs w:val="16"/>
                <w:vertAlign w:val="subscript"/>
                <w:lang w:val="id-ID"/>
              </w:rPr>
              <w:t>tabel</w:t>
            </w:r>
          </w:p>
        </w:tc>
        <w:tc>
          <w:tcPr>
            <w:tcW w:w="0" w:type="auto"/>
            <w:tcBorders>
              <w:top w:val="single" w:sz="12" w:space="0" w:color="auto"/>
              <w:bottom w:val="single" w:sz="2" w:space="0" w:color="auto"/>
            </w:tcBorders>
            <w:shd w:val="clear" w:color="auto" w:fill="auto"/>
            <w:vAlign w:val="center"/>
          </w:tcPr>
          <w:p w14:paraId="4DC386C8" w14:textId="77777777" w:rsidR="007206AB" w:rsidRPr="00A50E7E" w:rsidRDefault="007206AB" w:rsidP="00716970">
            <w:pPr>
              <w:widowControl w:val="0"/>
              <w:autoSpaceDE w:val="0"/>
              <w:autoSpaceDN w:val="0"/>
              <w:spacing w:after="0"/>
              <w:ind w:left="16"/>
              <w:jc w:val="right"/>
              <w:rPr>
                <w:rFonts w:eastAsia="Times New Roman"/>
                <w:bCs/>
                <w:sz w:val="16"/>
                <w:szCs w:val="16"/>
                <w:lang w:val="id-ID"/>
              </w:rPr>
            </w:pPr>
            <w:r w:rsidRPr="00A50E7E">
              <w:rPr>
                <w:rFonts w:eastAsia="Times New Roman"/>
                <w:bCs/>
                <w:spacing w:val="-2"/>
                <w:sz w:val="16"/>
                <w:szCs w:val="16"/>
                <w:lang w:val="id-ID"/>
              </w:rPr>
              <w:t>Probabilitas</w:t>
            </w:r>
          </w:p>
        </w:tc>
        <w:tc>
          <w:tcPr>
            <w:tcW w:w="0" w:type="auto"/>
            <w:tcBorders>
              <w:top w:val="single" w:sz="12" w:space="0" w:color="auto"/>
              <w:bottom w:val="single" w:sz="2" w:space="0" w:color="auto"/>
            </w:tcBorders>
            <w:shd w:val="clear" w:color="auto" w:fill="auto"/>
            <w:vAlign w:val="center"/>
          </w:tcPr>
          <w:p w14:paraId="611683CA" w14:textId="77777777" w:rsidR="007206AB" w:rsidRPr="00A50E7E" w:rsidRDefault="007206AB" w:rsidP="00716970">
            <w:pPr>
              <w:widowControl w:val="0"/>
              <w:autoSpaceDE w:val="0"/>
              <w:autoSpaceDN w:val="0"/>
              <w:spacing w:after="0"/>
              <w:ind w:left="17"/>
              <w:jc w:val="right"/>
              <w:rPr>
                <w:rFonts w:eastAsia="Times New Roman"/>
                <w:bCs/>
                <w:sz w:val="16"/>
                <w:szCs w:val="16"/>
                <w:lang w:val="id-ID"/>
              </w:rPr>
            </w:pPr>
            <w:r w:rsidRPr="00A50E7E">
              <w:rPr>
                <w:rFonts w:eastAsia="Times New Roman"/>
                <w:bCs/>
                <w:spacing w:val="-10"/>
                <w:sz w:val="16"/>
                <w:szCs w:val="16"/>
                <w:lang w:val="id-ID"/>
              </w:rPr>
              <w:t>α</w:t>
            </w:r>
          </w:p>
        </w:tc>
        <w:tc>
          <w:tcPr>
            <w:tcW w:w="0" w:type="auto"/>
            <w:tcBorders>
              <w:top w:val="single" w:sz="12" w:space="0" w:color="auto"/>
              <w:bottom w:val="single" w:sz="2" w:space="0" w:color="auto"/>
            </w:tcBorders>
            <w:shd w:val="clear" w:color="auto" w:fill="auto"/>
            <w:vAlign w:val="center"/>
          </w:tcPr>
          <w:p w14:paraId="37CAD41E" w14:textId="77777777" w:rsidR="007206AB" w:rsidRPr="00A50E7E" w:rsidRDefault="007206AB" w:rsidP="00716970">
            <w:pPr>
              <w:widowControl w:val="0"/>
              <w:autoSpaceDE w:val="0"/>
              <w:autoSpaceDN w:val="0"/>
              <w:spacing w:after="0"/>
              <w:rPr>
                <w:rFonts w:eastAsia="Times New Roman"/>
                <w:bCs/>
                <w:sz w:val="16"/>
                <w:szCs w:val="16"/>
                <w:lang w:val="id-ID"/>
              </w:rPr>
            </w:pPr>
            <w:r w:rsidRPr="00A50E7E">
              <w:rPr>
                <w:rFonts w:eastAsia="Times New Roman"/>
                <w:bCs/>
                <w:spacing w:val="-2"/>
                <w:sz w:val="16"/>
                <w:szCs w:val="16"/>
                <w:lang w:val="id-ID"/>
              </w:rPr>
              <w:t>Keterangan</w:t>
            </w:r>
          </w:p>
        </w:tc>
      </w:tr>
      <w:tr w:rsidR="007206AB" w:rsidRPr="00A50E7E" w14:paraId="47E29F9B" w14:textId="77777777" w:rsidTr="00716970">
        <w:trPr>
          <w:trHeight w:val="20"/>
          <w:jc w:val="center"/>
        </w:trPr>
        <w:tc>
          <w:tcPr>
            <w:tcW w:w="0" w:type="auto"/>
            <w:tcBorders>
              <w:top w:val="single" w:sz="2" w:space="0" w:color="auto"/>
              <w:bottom w:val="single" w:sz="2" w:space="0" w:color="auto"/>
            </w:tcBorders>
            <w:vAlign w:val="center"/>
          </w:tcPr>
          <w:p w14:paraId="3DCBBF01" w14:textId="77777777" w:rsidR="007206AB" w:rsidRPr="00A50E7E" w:rsidRDefault="007206AB" w:rsidP="005E3976">
            <w:pPr>
              <w:widowControl w:val="0"/>
              <w:tabs>
                <w:tab w:val="left" w:pos="1533"/>
                <w:tab w:val="left" w:pos="2279"/>
                <w:tab w:val="left" w:pos="2852"/>
              </w:tabs>
              <w:autoSpaceDE w:val="0"/>
              <w:autoSpaceDN w:val="0"/>
              <w:spacing w:after="0"/>
              <w:ind w:right="98"/>
              <w:jc w:val="left"/>
              <w:rPr>
                <w:rFonts w:eastAsia="Times New Roman"/>
                <w:bCs/>
                <w:sz w:val="16"/>
                <w:szCs w:val="16"/>
                <w:lang w:val="id-ID"/>
              </w:rPr>
            </w:pPr>
            <w:r w:rsidRPr="00A50E7E">
              <w:rPr>
                <w:rFonts w:eastAsia="Times New Roman"/>
                <w:bCs/>
                <w:sz w:val="16"/>
                <w:szCs w:val="16"/>
                <w:lang w:val="id-ID"/>
              </w:rPr>
              <w:t>Struktur Modal (X</w:t>
            </w:r>
            <w:r w:rsidRPr="00A50E7E">
              <w:rPr>
                <w:rFonts w:eastAsia="Times New Roman"/>
                <w:bCs/>
                <w:sz w:val="16"/>
                <w:szCs w:val="16"/>
                <w:vertAlign w:val="subscript"/>
                <w:lang w:val="id-ID"/>
              </w:rPr>
              <w:t>1</w:t>
            </w:r>
            <w:r w:rsidRPr="00A50E7E">
              <w:rPr>
                <w:rFonts w:eastAsia="Times New Roman"/>
                <w:bCs/>
                <w:sz w:val="16"/>
                <w:szCs w:val="16"/>
                <w:lang w:val="id-ID"/>
              </w:rPr>
              <w:t>), Profitabilitas (X</w:t>
            </w:r>
            <w:r w:rsidRPr="00A50E7E">
              <w:rPr>
                <w:rFonts w:eastAsia="Times New Roman"/>
                <w:bCs/>
                <w:sz w:val="16"/>
                <w:szCs w:val="16"/>
                <w:vertAlign w:val="subscript"/>
                <w:lang w:val="id-ID"/>
              </w:rPr>
              <w:t>2</w:t>
            </w:r>
            <w:r w:rsidRPr="00A50E7E">
              <w:rPr>
                <w:rFonts w:eastAsia="Times New Roman"/>
                <w:bCs/>
                <w:sz w:val="16"/>
                <w:szCs w:val="16"/>
                <w:lang w:val="id-ID"/>
              </w:rPr>
              <w:t>), Ukuran Perusahaan (X</w:t>
            </w:r>
            <w:r w:rsidRPr="00A50E7E">
              <w:rPr>
                <w:rFonts w:eastAsia="Times New Roman"/>
                <w:bCs/>
                <w:sz w:val="16"/>
                <w:szCs w:val="16"/>
                <w:vertAlign w:val="subscript"/>
                <w:lang w:val="id-ID"/>
              </w:rPr>
              <w:t>3</w:t>
            </w:r>
            <w:r w:rsidRPr="00A50E7E">
              <w:rPr>
                <w:rFonts w:eastAsia="Times New Roman"/>
                <w:bCs/>
                <w:sz w:val="16"/>
                <w:szCs w:val="16"/>
                <w:lang w:val="id-ID"/>
              </w:rPr>
              <w:t xml:space="preserve">) → </w:t>
            </w:r>
            <w:proofErr w:type="spellStart"/>
            <w:r w:rsidRPr="00A50E7E">
              <w:rPr>
                <w:rFonts w:eastAsia="Times New Roman"/>
                <w:bCs/>
                <w:i/>
                <w:iCs/>
                <w:sz w:val="16"/>
                <w:szCs w:val="16"/>
                <w:lang w:val="id-ID"/>
              </w:rPr>
              <w:t>Tax</w:t>
            </w:r>
            <w:proofErr w:type="spellEnd"/>
            <w:r w:rsidRPr="00A50E7E">
              <w:rPr>
                <w:rFonts w:eastAsia="Times New Roman"/>
                <w:bCs/>
                <w:i/>
                <w:iCs/>
                <w:sz w:val="16"/>
                <w:szCs w:val="16"/>
                <w:lang w:val="id-ID"/>
              </w:rPr>
              <w:t xml:space="preserve"> </w:t>
            </w:r>
            <w:proofErr w:type="spellStart"/>
            <w:r w:rsidRPr="00A50E7E">
              <w:rPr>
                <w:rFonts w:eastAsia="Times New Roman"/>
                <w:bCs/>
                <w:i/>
                <w:iCs/>
                <w:sz w:val="16"/>
                <w:szCs w:val="16"/>
                <w:lang w:val="id-ID"/>
              </w:rPr>
              <w:t>Avoidance</w:t>
            </w:r>
            <w:proofErr w:type="spellEnd"/>
            <w:r w:rsidRPr="00A50E7E">
              <w:rPr>
                <w:rFonts w:eastAsia="Times New Roman"/>
                <w:bCs/>
                <w:sz w:val="16"/>
                <w:szCs w:val="16"/>
                <w:lang w:val="id-ID"/>
              </w:rPr>
              <w:t xml:space="preserve"> (Y)</w:t>
            </w:r>
          </w:p>
        </w:tc>
        <w:tc>
          <w:tcPr>
            <w:tcW w:w="0" w:type="auto"/>
            <w:tcBorders>
              <w:top w:val="single" w:sz="2" w:space="0" w:color="auto"/>
              <w:bottom w:val="single" w:sz="2" w:space="0" w:color="auto"/>
            </w:tcBorders>
            <w:vAlign w:val="center"/>
          </w:tcPr>
          <w:p w14:paraId="4C6B539E" w14:textId="77777777" w:rsidR="007206AB" w:rsidRPr="00A50E7E" w:rsidRDefault="007206AB" w:rsidP="00716970">
            <w:pPr>
              <w:widowControl w:val="0"/>
              <w:autoSpaceDE w:val="0"/>
              <w:autoSpaceDN w:val="0"/>
              <w:spacing w:after="0"/>
              <w:ind w:left="12"/>
              <w:jc w:val="right"/>
              <w:rPr>
                <w:rFonts w:eastAsia="Times New Roman"/>
                <w:bCs/>
                <w:sz w:val="16"/>
                <w:szCs w:val="16"/>
                <w:lang w:val="id-ID"/>
              </w:rPr>
            </w:pPr>
            <w:r w:rsidRPr="00A50E7E">
              <w:rPr>
                <w:rFonts w:eastAsia="Times New Roman"/>
                <w:bCs/>
                <w:spacing w:val="-2"/>
                <w:sz w:val="16"/>
                <w:szCs w:val="16"/>
                <w:lang w:val="id-ID"/>
              </w:rPr>
              <w:t>3,9531</w:t>
            </w:r>
          </w:p>
        </w:tc>
        <w:tc>
          <w:tcPr>
            <w:tcW w:w="0" w:type="auto"/>
            <w:tcBorders>
              <w:top w:val="single" w:sz="2" w:space="0" w:color="auto"/>
              <w:bottom w:val="single" w:sz="2" w:space="0" w:color="auto"/>
            </w:tcBorders>
            <w:vAlign w:val="center"/>
          </w:tcPr>
          <w:p w14:paraId="4C73AE76" w14:textId="77777777" w:rsidR="007206AB" w:rsidRPr="00A50E7E" w:rsidRDefault="007206AB" w:rsidP="00716970">
            <w:pPr>
              <w:widowControl w:val="0"/>
              <w:autoSpaceDE w:val="0"/>
              <w:autoSpaceDN w:val="0"/>
              <w:spacing w:after="0"/>
              <w:ind w:left="1"/>
              <w:jc w:val="right"/>
              <w:rPr>
                <w:rFonts w:eastAsia="Times New Roman"/>
                <w:bCs/>
                <w:sz w:val="16"/>
                <w:szCs w:val="16"/>
                <w:lang w:val="id-ID"/>
              </w:rPr>
            </w:pPr>
            <w:r w:rsidRPr="00A50E7E">
              <w:rPr>
                <w:rFonts w:eastAsia="Times New Roman"/>
                <w:bCs/>
                <w:spacing w:val="-4"/>
                <w:sz w:val="16"/>
                <w:szCs w:val="16"/>
                <w:lang w:val="id-ID"/>
              </w:rPr>
              <w:t>2,66</w:t>
            </w:r>
          </w:p>
        </w:tc>
        <w:tc>
          <w:tcPr>
            <w:tcW w:w="0" w:type="auto"/>
            <w:tcBorders>
              <w:top w:val="single" w:sz="2" w:space="0" w:color="auto"/>
              <w:bottom w:val="single" w:sz="2" w:space="0" w:color="auto"/>
            </w:tcBorders>
            <w:vAlign w:val="center"/>
          </w:tcPr>
          <w:p w14:paraId="0CF8CB73" w14:textId="77777777" w:rsidR="007206AB" w:rsidRPr="00A50E7E" w:rsidRDefault="007206AB" w:rsidP="00716970">
            <w:pPr>
              <w:widowControl w:val="0"/>
              <w:autoSpaceDE w:val="0"/>
              <w:autoSpaceDN w:val="0"/>
              <w:spacing w:after="0"/>
              <w:ind w:left="-774" w:right="180"/>
              <w:jc w:val="right"/>
              <w:rPr>
                <w:rFonts w:eastAsia="Times New Roman"/>
                <w:bCs/>
                <w:sz w:val="16"/>
                <w:szCs w:val="16"/>
                <w:lang w:val="id-ID"/>
              </w:rPr>
            </w:pPr>
            <w:r w:rsidRPr="00A50E7E">
              <w:rPr>
                <w:rFonts w:eastAsia="Times New Roman"/>
                <w:bCs/>
                <w:spacing w:val="-4"/>
                <w:sz w:val="16"/>
                <w:szCs w:val="16"/>
                <w:lang w:val="id-ID"/>
              </w:rPr>
              <w:t>0,01</w:t>
            </w:r>
          </w:p>
        </w:tc>
        <w:tc>
          <w:tcPr>
            <w:tcW w:w="0" w:type="auto"/>
            <w:tcBorders>
              <w:top w:val="single" w:sz="2" w:space="0" w:color="auto"/>
              <w:bottom w:val="single" w:sz="2" w:space="0" w:color="auto"/>
            </w:tcBorders>
            <w:vAlign w:val="center"/>
          </w:tcPr>
          <w:p w14:paraId="3FA1A171" w14:textId="77777777" w:rsidR="007206AB" w:rsidRPr="00A50E7E" w:rsidRDefault="007206AB" w:rsidP="00716970">
            <w:pPr>
              <w:widowControl w:val="0"/>
              <w:autoSpaceDE w:val="0"/>
              <w:autoSpaceDN w:val="0"/>
              <w:spacing w:after="0"/>
              <w:ind w:left="17" w:right="1"/>
              <w:jc w:val="right"/>
              <w:rPr>
                <w:rFonts w:eastAsia="Times New Roman"/>
                <w:bCs/>
                <w:sz w:val="16"/>
                <w:szCs w:val="16"/>
                <w:lang w:val="id-ID"/>
              </w:rPr>
            </w:pPr>
            <w:r w:rsidRPr="00A50E7E">
              <w:rPr>
                <w:rFonts w:eastAsia="Times New Roman"/>
                <w:bCs/>
                <w:spacing w:val="-4"/>
                <w:sz w:val="16"/>
                <w:szCs w:val="16"/>
                <w:lang w:val="id-ID"/>
              </w:rPr>
              <w:t>0,05</w:t>
            </w:r>
          </w:p>
        </w:tc>
        <w:tc>
          <w:tcPr>
            <w:tcW w:w="0" w:type="auto"/>
            <w:tcBorders>
              <w:top w:val="single" w:sz="2" w:space="0" w:color="auto"/>
              <w:bottom w:val="single" w:sz="2" w:space="0" w:color="auto"/>
            </w:tcBorders>
            <w:vAlign w:val="center"/>
          </w:tcPr>
          <w:p w14:paraId="36BB3B67" w14:textId="77777777" w:rsidR="007206AB" w:rsidRPr="00A50E7E" w:rsidRDefault="007206AB" w:rsidP="00716970">
            <w:pPr>
              <w:widowControl w:val="0"/>
              <w:autoSpaceDE w:val="0"/>
              <w:autoSpaceDN w:val="0"/>
              <w:spacing w:after="0"/>
              <w:ind w:right="110"/>
              <w:rPr>
                <w:rFonts w:eastAsia="Times New Roman"/>
                <w:bCs/>
                <w:i/>
                <w:sz w:val="16"/>
                <w:szCs w:val="16"/>
                <w:lang w:val="id-ID"/>
              </w:rPr>
            </w:pPr>
            <w:proofErr w:type="spellStart"/>
            <w:r w:rsidRPr="00A50E7E">
              <w:rPr>
                <w:rFonts w:eastAsia="Times New Roman"/>
                <w:bCs/>
                <w:i/>
                <w:sz w:val="16"/>
                <w:szCs w:val="16"/>
                <w:lang w:val="id-ID"/>
              </w:rPr>
              <w:t>Goodness</w:t>
            </w:r>
            <w:proofErr w:type="spellEnd"/>
            <w:r w:rsidRPr="00A50E7E">
              <w:rPr>
                <w:rFonts w:eastAsia="Times New Roman"/>
                <w:bCs/>
                <w:i/>
                <w:sz w:val="16"/>
                <w:szCs w:val="16"/>
                <w:lang w:val="id-ID"/>
              </w:rPr>
              <w:t xml:space="preserve"> </w:t>
            </w:r>
            <w:proofErr w:type="spellStart"/>
            <w:r w:rsidRPr="00A50E7E">
              <w:rPr>
                <w:rFonts w:eastAsia="Times New Roman"/>
                <w:bCs/>
                <w:i/>
                <w:sz w:val="16"/>
                <w:szCs w:val="16"/>
                <w:lang w:val="id-ID"/>
              </w:rPr>
              <w:t>of</w:t>
            </w:r>
            <w:proofErr w:type="spellEnd"/>
            <w:r w:rsidRPr="00A50E7E">
              <w:rPr>
                <w:rFonts w:eastAsia="Times New Roman"/>
                <w:bCs/>
                <w:i/>
                <w:sz w:val="16"/>
                <w:szCs w:val="16"/>
                <w:lang w:val="id-ID"/>
              </w:rPr>
              <w:t xml:space="preserve"> Fit</w:t>
            </w:r>
          </w:p>
        </w:tc>
      </w:tr>
    </w:tbl>
    <w:p w14:paraId="4A13859D" w14:textId="77777777" w:rsidR="005E3976" w:rsidRPr="00A50E7E" w:rsidRDefault="005E3976" w:rsidP="00DD60E7">
      <w:pPr>
        <w:spacing w:before="120" w:after="120"/>
        <w:rPr>
          <w:color w:val="000000"/>
          <w:sz w:val="6"/>
          <w:szCs w:val="8"/>
          <w:lang w:val="id-ID"/>
        </w:rPr>
        <w:sectPr w:rsidR="005E3976" w:rsidRPr="00A50E7E" w:rsidSect="005E3976">
          <w:type w:val="continuous"/>
          <w:pgSz w:w="11906" w:h="16838"/>
          <w:pgMar w:top="1344" w:right="1411" w:bottom="1411" w:left="1411" w:header="706" w:footer="706" w:gutter="0"/>
          <w:cols w:space="156"/>
          <w:docGrid w:linePitch="360"/>
        </w:sectPr>
      </w:pPr>
    </w:p>
    <w:p w14:paraId="339FDCAB" w14:textId="23DEEA3B" w:rsidR="00E634F5" w:rsidRPr="00A50E7E" w:rsidRDefault="00E634F5" w:rsidP="00DD60E7">
      <w:pPr>
        <w:spacing w:before="120" w:after="120"/>
        <w:rPr>
          <w:color w:val="000000"/>
          <w:lang w:val="id-ID"/>
        </w:rPr>
      </w:pPr>
      <w:r w:rsidRPr="00A50E7E">
        <w:rPr>
          <w:color w:val="000000"/>
          <w:lang w:val="id-ID"/>
        </w:rPr>
        <w:t xml:space="preserve">Berdasarkan Tabel 4, terlihat bahwa uji kelayakan model </w:t>
      </w:r>
      <w:r w:rsidRPr="00A50E7E">
        <w:rPr>
          <w:i/>
          <w:color w:val="000000"/>
          <w:lang w:val="id-ID"/>
        </w:rPr>
        <w:t>(</w:t>
      </w:r>
      <w:proofErr w:type="spellStart"/>
      <w:r w:rsidRPr="00A50E7E">
        <w:rPr>
          <w:i/>
          <w:color w:val="000000"/>
          <w:lang w:val="id-ID"/>
        </w:rPr>
        <w:t>goodness</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fit) </w:t>
      </w:r>
      <w:r w:rsidRPr="00A50E7E">
        <w:rPr>
          <w:color w:val="000000"/>
          <w:lang w:val="id-ID"/>
        </w:rPr>
        <w:t xml:space="preserve">dengan nilai </w:t>
      </w:r>
      <w:proofErr w:type="spellStart"/>
      <w:r w:rsidRPr="00A50E7E">
        <w:rPr>
          <w:color w:val="000000"/>
          <w:lang w:val="id-ID"/>
        </w:rPr>
        <w:t>F</w:t>
      </w:r>
      <w:r w:rsidRPr="00A50E7E">
        <w:rPr>
          <w:color w:val="000000"/>
          <w:vertAlign w:val="subscript"/>
          <w:lang w:val="id-ID"/>
        </w:rPr>
        <w:t>hitung</w:t>
      </w:r>
      <w:proofErr w:type="spellEnd"/>
      <w:r w:rsidRPr="00A50E7E">
        <w:rPr>
          <w:color w:val="000000"/>
          <w:lang w:val="id-ID"/>
        </w:rPr>
        <w:t xml:space="preserve"> 3,9531 &gt;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2,66 dan nilai probabilitas 0,0093 &lt; nilai α 0,05</w:t>
      </w:r>
      <w:r w:rsidR="005E3976" w:rsidRPr="00A50E7E">
        <w:rPr>
          <w:color w:val="000000"/>
        </w:rPr>
        <w:t>.</w:t>
      </w:r>
      <w:r w:rsidRPr="00A50E7E">
        <w:rPr>
          <w:color w:val="000000"/>
          <w:lang w:val="id-ID"/>
        </w:rPr>
        <w:t xml:space="preserve"> </w:t>
      </w:r>
      <w:r w:rsidR="005E3976" w:rsidRPr="00A50E7E">
        <w:rPr>
          <w:color w:val="000000"/>
          <w:lang w:val="id-ID"/>
        </w:rPr>
        <w:t xml:space="preserve">Sehingga </w:t>
      </w:r>
      <w:r w:rsidRPr="00A50E7E">
        <w:rPr>
          <w:color w:val="000000"/>
          <w:lang w:val="id-ID"/>
        </w:rPr>
        <w:t>dapat disimpulkan bahwa hipotesis penelitian ini menolak H</w:t>
      </w:r>
      <w:r w:rsidRPr="00A50E7E">
        <w:rPr>
          <w:color w:val="000000"/>
          <w:vertAlign w:val="subscript"/>
          <w:lang w:val="id-ID"/>
        </w:rPr>
        <w:t>0</w:t>
      </w:r>
      <w:r w:rsidRPr="00A50E7E">
        <w:rPr>
          <w:color w:val="000000"/>
          <w:lang w:val="id-ID"/>
        </w:rPr>
        <w:t xml:space="preserve"> dan menerima H</w:t>
      </w:r>
      <w:r w:rsidRPr="00A50E7E">
        <w:rPr>
          <w:color w:val="000000"/>
          <w:vertAlign w:val="subscript"/>
          <w:lang w:val="id-ID"/>
        </w:rPr>
        <w:t>1</w:t>
      </w:r>
      <w:r w:rsidRPr="00A50E7E">
        <w:rPr>
          <w:color w:val="000000"/>
          <w:lang w:val="id-ID"/>
        </w:rPr>
        <w:t>. Artinya Struktur Modal (X</w:t>
      </w:r>
      <w:r w:rsidRPr="00A50E7E">
        <w:rPr>
          <w:color w:val="000000"/>
          <w:vertAlign w:val="subscript"/>
          <w:lang w:val="id-ID"/>
        </w:rPr>
        <w:t>1</w:t>
      </w:r>
      <w:r w:rsidRPr="00A50E7E">
        <w:rPr>
          <w:color w:val="000000"/>
          <w:lang w:val="id-ID"/>
        </w:rPr>
        <w:t>), Profitabilitas (X</w:t>
      </w:r>
      <w:r w:rsidRPr="00A50E7E">
        <w:rPr>
          <w:color w:val="000000"/>
          <w:vertAlign w:val="subscript"/>
          <w:lang w:val="id-ID"/>
        </w:rPr>
        <w:t>2</w:t>
      </w:r>
      <w:r w:rsidRPr="00A50E7E">
        <w:rPr>
          <w:color w:val="000000"/>
          <w:lang w:val="id-ID"/>
        </w:rPr>
        <w:t>) dan Ukuran Perusahaan (X</w:t>
      </w:r>
      <w:r w:rsidRPr="00A50E7E">
        <w:rPr>
          <w:color w:val="000000"/>
          <w:vertAlign w:val="subscript"/>
          <w:lang w:val="id-ID"/>
        </w:rPr>
        <w:t>3</w:t>
      </w:r>
      <w:r w:rsidRPr="00A50E7E">
        <w:rPr>
          <w:color w:val="000000"/>
          <w:lang w:val="id-ID"/>
        </w:rPr>
        <w:t xml:space="preserve">) mempunyai pengaruh yang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(Y). Hasil penelitian ini menunjukkan dukungan statistik terhadap model riset yang diajukan atau dengan kata lain model riset tersebut terdukung secara empiris dan teoritis atas variabel-variabel (bebas dan terikat), karena nilai </w:t>
      </w:r>
      <w:proofErr w:type="spellStart"/>
      <w:r w:rsidRPr="00A50E7E">
        <w:rPr>
          <w:color w:val="000000"/>
          <w:lang w:val="id-ID"/>
        </w:rPr>
        <w:t>F</w:t>
      </w:r>
      <w:r w:rsidRPr="00A50E7E">
        <w:rPr>
          <w:color w:val="000000"/>
          <w:vertAlign w:val="subscript"/>
          <w:lang w:val="id-ID"/>
        </w:rPr>
        <w:t>hitung</w:t>
      </w:r>
      <w:proofErr w:type="spellEnd"/>
      <w:r w:rsidRPr="00A50E7E">
        <w:rPr>
          <w:color w:val="000000"/>
          <w:lang w:val="id-ID"/>
        </w:rPr>
        <w:t xml:space="preserve"> &gt; nilai </w:t>
      </w:r>
      <w:proofErr w:type="spellStart"/>
      <w:r w:rsidRPr="00A50E7E">
        <w:rPr>
          <w:color w:val="000000"/>
          <w:lang w:val="id-ID"/>
        </w:rPr>
        <w:t>F</w:t>
      </w:r>
      <w:r w:rsidRPr="00A50E7E">
        <w:rPr>
          <w:color w:val="000000"/>
          <w:vertAlign w:val="subscript"/>
          <w:lang w:val="id-ID"/>
        </w:rPr>
        <w:t>tabel</w:t>
      </w:r>
      <w:proofErr w:type="spellEnd"/>
      <w:r w:rsidRPr="00A50E7E">
        <w:rPr>
          <w:color w:val="000000"/>
          <w:lang w:val="id-ID"/>
        </w:rPr>
        <w:t xml:space="preserve"> dan nilai probabilitas &lt; nilai α 0,05 sehingga model riset telah menunjukkan </w:t>
      </w:r>
      <w:proofErr w:type="spellStart"/>
      <w:r w:rsidRPr="00A50E7E">
        <w:rPr>
          <w:i/>
          <w:color w:val="000000"/>
          <w:lang w:val="id-ID"/>
        </w:rPr>
        <w:t>goodness</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fit </w:t>
      </w:r>
      <w:r w:rsidRPr="00A50E7E">
        <w:rPr>
          <w:color w:val="000000"/>
          <w:lang w:val="id-ID"/>
        </w:rPr>
        <w:t>yang baik.</w:t>
      </w:r>
    </w:p>
    <w:p w14:paraId="16E1522F" w14:textId="77777777" w:rsidR="00E634F5" w:rsidRPr="00A50E7E" w:rsidRDefault="00E634F5" w:rsidP="00DD60E7">
      <w:pPr>
        <w:numPr>
          <w:ilvl w:val="0"/>
          <w:numId w:val="14"/>
        </w:numPr>
        <w:spacing w:before="120" w:after="120"/>
        <w:ind w:left="567" w:hanging="567"/>
        <w:rPr>
          <w:color w:val="000000"/>
          <w:lang w:val="id-ID"/>
        </w:rPr>
      </w:pPr>
      <w:r w:rsidRPr="00A50E7E">
        <w:rPr>
          <w:color w:val="000000"/>
          <w:lang w:val="id-ID"/>
        </w:rPr>
        <w:t>Hasil Uji Parsial (Uji t)</w:t>
      </w:r>
    </w:p>
    <w:p w14:paraId="5D1A822E" w14:textId="77777777" w:rsidR="00E634F5" w:rsidRPr="00A50E7E" w:rsidRDefault="00E634F5" w:rsidP="00DD60E7">
      <w:pPr>
        <w:spacing w:before="120" w:after="120"/>
        <w:rPr>
          <w:color w:val="000000"/>
          <w:lang w:val="id-ID"/>
        </w:rPr>
      </w:pPr>
      <w:r w:rsidRPr="00A50E7E">
        <w:rPr>
          <w:color w:val="000000"/>
          <w:lang w:val="id-ID"/>
        </w:rPr>
        <w:t>Uji parsial (uji t) pada dasarnya menunjukkan seberapa jauh pengaruh satu variabel penjelas/ independen secara individual dalam menerangkan variabel dependen. Dasar pengambilan keputusan uji parsial (uji t) ialah sebagai berikut:</w:t>
      </w:r>
    </w:p>
    <w:p w14:paraId="5D0105E3" w14:textId="77777777" w:rsidR="007206AB" w:rsidRPr="00A50E7E" w:rsidRDefault="00E634F5" w:rsidP="00716970">
      <w:pPr>
        <w:numPr>
          <w:ilvl w:val="0"/>
          <w:numId w:val="22"/>
        </w:numPr>
        <w:spacing w:before="120" w:after="120"/>
        <w:ind w:left="360" w:hanging="385"/>
        <w:rPr>
          <w:color w:val="000000"/>
          <w:lang w:val="id-ID"/>
        </w:rPr>
      </w:pPr>
      <w:r w:rsidRPr="00A50E7E">
        <w:rPr>
          <w:color w:val="000000"/>
          <w:lang w:val="id-ID"/>
        </w:rPr>
        <w:t xml:space="preserve">Jika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&lt;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dan nilai probabilitas &gt; nilai α 0,05, maka H</w:t>
      </w:r>
      <w:r w:rsidRPr="00A50E7E">
        <w:rPr>
          <w:color w:val="000000"/>
          <w:vertAlign w:val="subscript"/>
          <w:lang w:val="id-ID"/>
        </w:rPr>
        <w:t>0</w:t>
      </w:r>
      <w:r w:rsidRPr="00A50E7E">
        <w:rPr>
          <w:color w:val="000000"/>
          <w:lang w:val="id-ID"/>
        </w:rPr>
        <w:t xml:space="preserve"> diterima (variabel bebas tidak berpengaruh signifikan).</w:t>
      </w:r>
    </w:p>
    <w:p w14:paraId="0B4BB3E1" w14:textId="77777777" w:rsidR="00E634F5" w:rsidRPr="00A50E7E" w:rsidRDefault="00E634F5" w:rsidP="00716970">
      <w:pPr>
        <w:numPr>
          <w:ilvl w:val="0"/>
          <w:numId w:val="22"/>
        </w:numPr>
        <w:spacing w:before="120" w:after="120"/>
        <w:ind w:left="360" w:hanging="385"/>
        <w:rPr>
          <w:color w:val="000000"/>
          <w:lang w:val="id-ID"/>
        </w:rPr>
      </w:pPr>
      <w:r w:rsidRPr="00A50E7E">
        <w:rPr>
          <w:color w:val="000000"/>
          <w:lang w:val="id-ID"/>
        </w:rPr>
        <w:t xml:space="preserve">Jika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&gt;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dan nilai probabilitas &lt; nilai α 0,05, maka H</w:t>
      </w:r>
      <w:r w:rsidRPr="00A50E7E">
        <w:rPr>
          <w:color w:val="000000"/>
          <w:vertAlign w:val="subscript"/>
          <w:lang w:val="id-ID"/>
        </w:rPr>
        <w:t>0</w:t>
      </w:r>
      <w:r w:rsidRPr="00A50E7E">
        <w:rPr>
          <w:color w:val="000000"/>
          <w:lang w:val="id-ID"/>
        </w:rPr>
        <w:t xml:space="preserve"> ditolak (variabel bebas berpengaruh signifikan).</w:t>
      </w:r>
    </w:p>
    <w:p w14:paraId="72406D1E" w14:textId="2CB68939" w:rsidR="00E634F5" w:rsidRPr="00A50E7E" w:rsidRDefault="00E634F5" w:rsidP="00DD60E7">
      <w:pPr>
        <w:spacing w:before="120" w:after="120"/>
        <w:rPr>
          <w:color w:val="000000"/>
          <w:lang w:val="id-ID"/>
        </w:rPr>
      </w:pPr>
      <w:r w:rsidRPr="00A50E7E">
        <w:rPr>
          <w:color w:val="000000"/>
          <w:lang w:val="id-ID"/>
        </w:rPr>
        <w:t xml:space="preserve">Adapun dalam mencari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hal yang wajib diketahui sebelumnya ialah sebagai berikut:</w:t>
      </w:r>
    </w:p>
    <w:p w14:paraId="3083FC15" w14:textId="77777777" w:rsidR="00716970" w:rsidRPr="00A50E7E" w:rsidRDefault="00716970" w:rsidP="00716970">
      <w:pPr>
        <w:pStyle w:val="ListParagraph"/>
        <w:numPr>
          <w:ilvl w:val="0"/>
          <w:numId w:val="23"/>
        </w:numPr>
        <w:spacing w:before="120" w:after="120"/>
        <w:ind w:left="360"/>
        <w:contextualSpacing w:val="0"/>
        <w:rPr>
          <w:color w:val="000000"/>
          <w:lang w:val="id-ID"/>
        </w:rPr>
      </w:pPr>
      <w:r w:rsidRPr="00A50E7E">
        <w:rPr>
          <w:color w:val="000000"/>
          <w:lang w:val="id-ID"/>
        </w:rPr>
        <w:t>Jumlah variabel penelitian (k): 4</w:t>
      </w:r>
    </w:p>
    <w:p w14:paraId="526A71D7" w14:textId="77777777" w:rsidR="00716970" w:rsidRPr="00A50E7E" w:rsidRDefault="00716970" w:rsidP="00716970">
      <w:pPr>
        <w:pStyle w:val="ListParagraph"/>
        <w:numPr>
          <w:ilvl w:val="0"/>
          <w:numId w:val="23"/>
        </w:numPr>
        <w:spacing w:before="120" w:after="120"/>
        <w:ind w:left="360"/>
        <w:contextualSpacing w:val="0"/>
        <w:rPr>
          <w:color w:val="000000"/>
          <w:lang w:val="id-ID"/>
        </w:rPr>
      </w:pPr>
      <w:r w:rsidRPr="00A50E7E">
        <w:rPr>
          <w:color w:val="000000"/>
          <w:lang w:val="id-ID"/>
        </w:rPr>
        <w:t>Jumlah observasi/ data/ responden (n): 175</w:t>
      </w:r>
    </w:p>
    <w:p w14:paraId="589E387E" w14:textId="031FECEA" w:rsidR="00716970" w:rsidRPr="00A50E7E" w:rsidRDefault="00716970" w:rsidP="00716970">
      <w:pPr>
        <w:pStyle w:val="ListParagraph"/>
        <w:numPr>
          <w:ilvl w:val="0"/>
          <w:numId w:val="23"/>
        </w:numPr>
        <w:spacing w:before="120" w:after="120"/>
        <w:ind w:left="360"/>
        <w:contextualSpacing w:val="0"/>
        <w:rPr>
          <w:color w:val="000000"/>
          <w:lang w:val="id-ID"/>
        </w:rPr>
      </w:pPr>
      <w:r w:rsidRPr="00A50E7E">
        <w:rPr>
          <w:color w:val="000000"/>
          <w:lang w:val="id-ID"/>
        </w:rPr>
        <w:t xml:space="preserve">Signifikansi menggunakan </w:t>
      </w:r>
      <w:proofErr w:type="spellStart"/>
      <w:r w:rsidRPr="00A50E7E">
        <w:rPr>
          <w:color w:val="000000"/>
        </w:rPr>
        <w:t>dua</w:t>
      </w:r>
      <w:proofErr w:type="spellEnd"/>
      <w:r w:rsidRPr="00A50E7E">
        <w:rPr>
          <w:color w:val="000000"/>
          <w:lang w:val="id-ID"/>
        </w:rPr>
        <w:t xml:space="preserve"> sisi (</w:t>
      </w:r>
      <w:proofErr w:type="spellStart"/>
      <w:r w:rsidRPr="00A50E7E">
        <w:rPr>
          <w:color w:val="000000"/>
          <w:lang w:val="id-ID"/>
        </w:rPr>
        <w:t>sign</w:t>
      </w:r>
      <w:proofErr w:type="spellEnd"/>
      <w:r w:rsidRPr="00A50E7E">
        <w:rPr>
          <w:color w:val="000000"/>
          <w:lang w:val="id-ID"/>
        </w:rPr>
        <w:t>): 0,025/ 0,050</w:t>
      </w:r>
    </w:p>
    <w:p w14:paraId="5B2C8F99" w14:textId="120B5361" w:rsidR="00716970" w:rsidRPr="00A50E7E" w:rsidRDefault="00716970" w:rsidP="00716970">
      <w:pPr>
        <w:pStyle w:val="ListParagraph"/>
        <w:numPr>
          <w:ilvl w:val="0"/>
          <w:numId w:val="23"/>
        </w:numPr>
        <w:spacing w:before="120" w:after="120"/>
        <w:ind w:left="360"/>
        <w:contextualSpacing w:val="0"/>
        <w:rPr>
          <w:color w:val="000000"/>
          <w:lang w:val="id-ID"/>
        </w:rPr>
      </w:pPr>
      <w:r w:rsidRPr="00A50E7E">
        <w:rPr>
          <w:color w:val="000000"/>
          <w:lang w:val="id-ID"/>
        </w:rPr>
        <w:t xml:space="preserve">Persamaan </w:t>
      </w:r>
      <w:r w:rsidRPr="00A50E7E">
        <w:rPr>
          <w:color w:val="000000"/>
        </w:rPr>
        <w:t>3</w:t>
      </w:r>
      <w:r w:rsidRPr="00A50E7E">
        <w:rPr>
          <w:color w:val="000000"/>
          <w:lang w:val="id-ID"/>
        </w:rPr>
        <w:t xml:space="preserve"> untuk mencari </w:t>
      </w:r>
      <w:proofErr w:type="spellStart"/>
      <w:r w:rsidRPr="00A50E7E">
        <w:rPr>
          <w:i/>
          <w:color w:val="000000"/>
          <w:lang w:val="id-ID"/>
        </w:rPr>
        <w:t>degree</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w:t>
      </w:r>
      <w:proofErr w:type="spellStart"/>
      <w:r w:rsidRPr="00A50E7E">
        <w:rPr>
          <w:i/>
          <w:color w:val="000000"/>
          <w:lang w:val="id-ID"/>
        </w:rPr>
        <w:t>freedom</w:t>
      </w:r>
      <w:proofErr w:type="spellEnd"/>
      <w:r w:rsidRPr="00A50E7E">
        <w:rPr>
          <w:i/>
          <w:color w:val="000000"/>
          <w:lang w:val="id-ID"/>
        </w:rPr>
        <w:t xml:space="preserve"> </w:t>
      </w:r>
      <w:r w:rsidRPr="00A50E7E">
        <w:rPr>
          <w:iCs/>
          <w:color w:val="000000"/>
          <w:lang w:val="id-ID"/>
        </w:rPr>
        <w:t>(df1) atau derajat bebas</w:t>
      </w:r>
    </w:p>
    <w:p w14:paraId="6174910F" w14:textId="77777777" w:rsidR="00716970" w:rsidRPr="00A50E7E" w:rsidRDefault="00716970" w:rsidP="00716970">
      <w:pPr>
        <w:pStyle w:val="ListParagraph"/>
        <w:numPr>
          <w:ilvl w:val="0"/>
          <w:numId w:val="23"/>
        </w:numPr>
        <w:spacing w:before="120" w:after="120"/>
        <w:ind w:left="360"/>
        <w:contextualSpacing w:val="0"/>
        <w:rPr>
          <w:color w:val="000000"/>
          <w:lang w:val="id-ID"/>
        </w:rPr>
      </w:pPr>
      <w:r w:rsidRPr="00A50E7E">
        <w:rPr>
          <w:iCs/>
          <w:color w:val="000000"/>
          <w:lang w:val="id-ID"/>
        </w:rPr>
        <w:t xml:space="preserve">Nilai </w:t>
      </w:r>
      <w:proofErr w:type="spellStart"/>
      <w:r w:rsidRPr="00A50E7E">
        <w:rPr>
          <w:color w:val="000000"/>
          <w:lang w:val="id-ID"/>
        </w:rPr>
        <w:t>t</w:t>
      </w:r>
      <w:r w:rsidRPr="00A50E7E">
        <w:rPr>
          <w:color w:val="000000"/>
          <w:vertAlign w:val="subscript"/>
          <w:lang w:val="id-ID"/>
        </w:rPr>
        <w:t>tabel</w:t>
      </w:r>
      <w:proofErr w:type="spellEnd"/>
      <w:r w:rsidRPr="00A50E7E">
        <w:rPr>
          <w:iCs/>
          <w:color w:val="000000"/>
          <w:lang w:val="id-ID"/>
        </w:rPr>
        <w:t>:</w:t>
      </w:r>
      <w:r w:rsidRPr="00A50E7E">
        <w:rPr>
          <w:iCs/>
          <w:color w:val="000000"/>
          <w:vertAlign w:val="subscript"/>
          <w:lang w:val="id-ID"/>
        </w:rPr>
        <w:t xml:space="preserve"> </w:t>
      </w:r>
      <w:r w:rsidRPr="00A50E7E">
        <w:rPr>
          <w:color w:val="000000"/>
          <w:lang w:val="id-ID"/>
        </w:rPr>
        <w:t>1,9739</w:t>
      </w:r>
    </w:p>
    <w:p w14:paraId="373C83DA" w14:textId="77777777" w:rsidR="00E634F5" w:rsidRPr="00A50E7E" w:rsidRDefault="00E634F5" w:rsidP="00DD60E7">
      <w:pPr>
        <w:spacing w:before="120" w:after="120"/>
        <w:rPr>
          <w:color w:val="000000"/>
          <w:lang w:val="id-ID"/>
        </w:rPr>
      </w:pPr>
      <w:r w:rsidRPr="00A50E7E">
        <w:rPr>
          <w:color w:val="000000"/>
          <w:lang w:val="id-ID"/>
        </w:rPr>
        <w:t xml:space="preserve">Jadi </w:t>
      </w:r>
      <w:proofErr w:type="spellStart"/>
      <w:r w:rsidRPr="00A50E7E">
        <w:rPr>
          <w:color w:val="000000"/>
          <w:lang w:val="id-ID"/>
        </w:rPr>
        <w:t>df</w:t>
      </w:r>
      <w:proofErr w:type="spellEnd"/>
      <w:r w:rsidRPr="00A50E7E">
        <w:rPr>
          <w:color w:val="000000"/>
          <w:lang w:val="id-ID"/>
        </w:rPr>
        <w:t xml:space="preserve"> = 175 – 4 = 171, nilai </w:t>
      </w:r>
      <w:proofErr w:type="spellStart"/>
      <w:r w:rsidRPr="00A50E7E">
        <w:rPr>
          <w:color w:val="000000"/>
          <w:lang w:val="id-ID"/>
        </w:rPr>
        <w:t>df</w:t>
      </w:r>
      <w:proofErr w:type="spellEnd"/>
      <w:r w:rsidRPr="00A50E7E">
        <w:rPr>
          <w:color w:val="000000"/>
          <w:lang w:val="id-ID"/>
        </w:rPr>
        <w:t xml:space="preserve"> sebesar 171. Maka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adalah 1,9739.</w:t>
      </w:r>
    </w:p>
    <w:p w14:paraId="7EE9B0E1" w14:textId="77777777" w:rsidR="00716970" w:rsidRPr="00A50E7E" w:rsidRDefault="00716970" w:rsidP="00DD60E7">
      <w:pPr>
        <w:spacing w:before="120" w:after="120"/>
        <w:jc w:val="center"/>
        <w:rPr>
          <w:color w:val="000000"/>
          <w:sz w:val="16"/>
          <w:szCs w:val="18"/>
          <w:lang w:val="id-ID"/>
        </w:rPr>
        <w:sectPr w:rsidR="00716970" w:rsidRPr="00A50E7E" w:rsidSect="00111E7B">
          <w:type w:val="continuous"/>
          <w:pgSz w:w="11906" w:h="16838"/>
          <w:pgMar w:top="1344" w:right="1411" w:bottom="1411" w:left="1411" w:header="706" w:footer="706" w:gutter="0"/>
          <w:cols w:num="2" w:space="156"/>
          <w:docGrid w:linePitch="360"/>
        </w:sectPr>
      </w:pPr>
    </w:p>
    <w:p w14:paraId="279B1BF6" w14:textId="226E5CC5" w:rsidR="00E634F5" w:rsidRPr="00A50E7E" w:rsidRDefault="00E634F5" w:rsidP="00DD60E7">
      <w:pPr>
        <w:spacing w:before="120" w:after="120"/>
        <w:jc w:val="center"/>
        <w:rPr>
          <w:color w:val="000000"/>
          <w:sz w:val="16"/>
          <w:szCs w:val="18"/>
          <w:lang w:val="id-ID"/>
        </w:rPr>
      </w:pPr>
      <w:r w:rsidRPr="00A50E7E">
        <w:rPr>
          <w:color w:val="000000"/>
          <w:sz w:val="16"/>
          <w:szCs w:val="18"/>
          <w:lang w:val="id-ID"/>
        </w:rPr>
        <w:t xml:space="preserve">Tabel 5. Hasil </w:t>
      </w:r>
      <w:r w:rsidR="00716970" w:rsidRPr="00A50E7E">
        <w:rPr>
          <w:color w:val="000000"/>
          <w:sz w:val="16"/>
          <w:szCs w:val="18"/>
          <w:lang w:val="id-ID"/>
        </w:rPr>
        <w:t xml:space="preserve">Uji Parsial </w:t>
      </w:r>
    </w:p>
    <w:tbl>
      <w:tblPr>
        <w:tblW w:w="0" w:type="auto"/>
        <w:jc w:val="center"/>
        <w:tblBorders>
          <w:top w:val="single" w:sz="4" w:space="0" w:color="auto"/>
          <w:bottom w:val="single" w:sz="4" w:space="0" w:color="auto"/>
        </w:tblBorders>
        <w:tblLook w:val="01E0" w:firstRow="1" w:lastRow="1" w:firstColumn="1" w:lastColumn="1" w:noHBand="0" w:noVBand="0"/>
      </w:tblPr>
      <w:tblGrid>
        <w:gridCol w:w="3337"/>
        <w:gridCol w:w="723"/>
        <w:gridCol w:w="669"/>
        <w:gridCol w:w="985"/>
        <w:gridCol w:w="515"/>
        <w:gridCol w:w="1264"/>
      </w:tblGrid>
      <w:tr w:rsidR="002A2F1B" w:rsidRPr="00A50E7E" w14:paraId="21C09439" w14:textId="77777777" w:rsidTr="00046BFC">
        <w:trPr>
          <w:trHeight w:val="20"/>
          <w:jc w:val="center"/>
        </w:trPr>
        <w:tc>
          <w:tcPr>
            <w:tcW w:w="0" w:type="auto"/>
            <w:tcBorders>
              <w:top w:val="single" w:sz="12" w:space="0" w:color="auto"/>
              <w:bottom w:val="single" w:sz="2" w:space="0" w:color="auto"/>
            </w:tcBorders>
            <w:shd w:val="clear" w:color="auto" w:fill="auto"/>
          </w:tcPr>
          <w:p w14:paraId="048C7713" w14:textId="77777777" w:rsidR="007206AB" w:rsidRPr="00A50E7E" w:rsidRDefault="007206AB" w:rsidP="00046BFC">
            <w:pPr>
              <w:widowControl w:val="0"/>
              <w:autoSpaceDE w:val="0"/>
              <w:autoSpaceDN w:val="0"/>
              <w:spacing w:after="0"/>
              <w:rPr>
                <w:rFonts w:eastAsia="Times New Roman"/>
                <w:bCs/>
                <w:sz w:val="16"/>
                <w:szCs w:val="16"/>
                <w:lang w:val="id-ID"/>
              </w:rPr>
            </w:pPr>
            <w:r w:rsidRPr="00A50E7E">
              <w:rPr>
                <w:rFonts w:eastAsia="Times New Roman"/>
                <w:bCs/>
                <w:sz w:val="16"/>
                <w:szCs w:val="16"/>
                <w:lang w:val="id-ID"/>
              </w:rPr>
              <w:t>Variabel</w:t>
            </w:r>
            <w:r w:rsidRPr="00A50E7E">
              <w:rPr>
                <w:rFonts w:eastAsia="Times New Roman"/>
                <w:bCs/>
                <w:spacing w:val="-2"/>
                <w:sz w:val="16"/>
                <w:szCs w:val="16"/>
                <w:lang w:val="id-ID"/>
              </w:rPr>
              <w:t xml:space="preserve"> Penelitian</w:t>
            </w:r>
          </w:p>
        </w:tc>
        <w:tc>
          <w:tcPr>
            <w:tcW w:w="0" w:type="auto"/>
            <w:tcBorders>
              <w:top w:val="single" w:sz="12" w:space="0" w:color="auto"/>
              <w:bottom w:val="single" w:sz="2" w:space="0" w:color="auto"/>
            </w:tcBorders>
            <w:shd w:val="clear" w:color="auto" w:fill="auto"/>
          </w:tcPr>
          <w:p w14:paraId="1BC0CB0D" w14:textId="77777777" w:rsidR="007206AB" w:rsidRPr="00A50E7E" w:rsidRDefault="007206AB" w:rsidP="00716970">
            <w:pPr>
              <w:widowControl w:val="0"/>
              <w:autoSpaceDE w:val="0"/>
              <w:autoSpaceDN w:val="0"/>
              <w:spacing w:after="0"/>
              <w:ind w:left="24" w:right="4"/>
              <w:jc w:val="right"/>
              <w:rPr>
                <w:rFonts w:eastAsia="Times New Roman"/>
                <w:bCs/>
                <w:sz w:val="16"/>
                <w:szCs w:val="16"/>
                <w:lang w:val="id-ID"/>
              </w:rPr>
            </w:pPr>
            <w:r w:rsidRPr="00A50E7E">
              <w:rPr>
                <w:rFonts w:eastAsia="Times New Roman"/>
                <w:bCs/>
                <w:spacing w:val="-2"/>
                <w:position w:val="1"/>
                <w:sz w:val="16"/>
                <w:szCs w:val="16"/>
                <w:lang w:val="id-ID"/>
              </w:rPr>
              <w:t>t</w:t>
            </w:r>
            <w:r w:rsidRPr="00A50E7E">
              <w:rPr>
                <w:rFonts w:eastAsia="Times New Roman"/>
                <w:bCs/>
                <w:spacing w:val="-2"/>
                <w:sz w:val="16"/>
                <w:szCs w:val="16"/>
                <w:vertAlign w:val="subscript"/>
                <w:lang w:val="id-ID"/>
              </w:rPr>
              <w:t>hitung</w:t>
            </w:r>
          </w:p>
        </w:tc>
        <w:tc>
          <w:tcPr>
            <w:tcW w:w="0" w:type="auto"/>
            <w:tcBorders>
              <w:top w:val="single" w:sz="12" w:space="0" w:color="auto"/>
              <w:bottom w:val="single" w:sz="2" w:space="0" w:color="auto"/>
            </w:tcBorders>
            <w:shd w:val="clear" w:color="auto" w:fill="auto"/>
          </w:tcPr>
          <w:p w14:paraId="4E3A7F93" w14:textId="77777777" w:rsidR="007206AB" w:rsidRPr="00A50E7E" w:rsidRDefault="007206AB" w:rsidP="00716970">
            <w:pPr>
              <w:widowControl w:val="0"/>
              <w:autoSpaceDE w:val="0"/>
              <w:autoSpaceDN w:val="0"/>
              <w:spacing w:after="0"/>
              <w:ind w:left="25" w:right="4"/>
              <w:jc w:val="right"/>
              <w:rPr>
                <w:rFonts w:eastAsia="Times New Roman"/>
                <w:bCs/>
                <w:sz w:val="16"/>
                <w:szCs w:val="16"/>
                <w:lang w:val="id-ID"/>
              </w:rPr>
            </w:pPr>
            <w:r w:rsidRPr="00A50E7E">
              <w:rPr>
                <w:rFonts w:eastAsia="Times New Roman"/>
                <w:bCs/>
                <w:spacing w:val="-2"/>
                <w:position w:val="1"/>
                <w:sz w:val="16"/>
                <w:szCs w:val="16"/>
                <w:lang w:val="id-ID"/>
              </w:rPr>
              <w:t>t</w:t>
            </w:r>
            <w:r w:rsidRPr="00A50E7E">
              <w:rPr>
                <w:rFonts w:eastAsia="Times New Roman"/>
                <w:bCs/>
                <w:spacing w:val="-2"/>
                <w:sz w:val="16"/>
                <w:szCs w:val="16"/>
                <w:vertAlign w:val="subscript"/>
                <w:lang w:val="id-ID"/>
              </w:rPr>
              <w:t>tabel</w:t>
            </w:r>
          </w:p>
        </w:tc>
        <w:tc>
          <w:tcPr>
            <w:tcW w:w="0" w:type="auto"/>
            <w:tcBorders>
              <w:top w:val="single" w:sz="12" w:space="0" w:color="auto"/>
              <w:bottom w:val="single" w:sz="2" w:space="0" w:color="auto"/>
            </w:tcBorders>
            <w:shd w:val="clear" w:color="auto" w:fill="auto"/>
          </w:tcPr>
          <w:p w14:paraId="353CF9AD" w14:textId="77777777" w:rsidR="007206AB" w:rsidRPr="00A50E7E" w:rsidRDefault="007206AB" w:rsidP="00716970">
            <w:pPr>
              <w:widowControl w:val="0"/>
              <w:autoSpaceDE w:val="0"/>
              <w:autoSpaceDN w:val="0"/>
              <w:spacing w:after="0"/>
              <w:ind w:left="28"/>
              <w:jc w:val="right"/>
              <w:rPr>
                <w:rFonts w:eastAsia="Times New Roman"/>
                <w:bCs/>
                <w:sz w:val="16"/>
                <w:szCs w:val="16"/>
                <w:lang w:val="id-ID"/>
              </w:rPr>
            </w:pPr>
            <w:r w:rsidRPr="00A50E7E">
              <w:rPr>
                <w:rFonts w:eastAsia="Times New Roman"/>
                <w:bCs/>
                <w:spacing w:val="-2"/>
                <w:sz w:val="16"/>
                <w:szCs w:val="16"/>
                <w:lang w:val="id-ID"/>
              </w:rPr>
              <w:t>Probabilitas</w:t>
            </w:r>
          </w:p>
        </w:tc>
        <w:tc>
          <w:tcPr>
            <w:tcW w:w="0" w:type="auto"/>
            <w:tcBorders>
              <w:top w:val="single" w:sz="12" w:space="0" w:color="auto"/>
              <w:bottom w:val="single" w:sz="2" w:space="0" w:color="auto"/>
            </w:tcBorders>
            <w:shd w:val="clear" w:color="auto" w:fill="auto"/>
          </w:tcPr>
          <w:p w14:paraId="7F43426D" w14:textId="77777777" w:rsidR="007206AB" w:rsidRPr="00A50E7E" w:rsidRDefault="007206AB" w:rsidP="00716970">
            <w:pPr>
              <w:widowControl w:val="0"/>
              <w:autoSpaceDE w:val="0"/>
              <w:autoSpaceDN w:val="0"/>
              <w:spacing w:after="0"/>
              <w:ind w:left="32"/>
              <w:jc w:val="right"/>
              <w:rPr>
                <w:rFonts w:eastAsia="Times New Roman"/>
                <w:bCs/>
                <w:sz w:val="16"/>
                <w:szCs w:val="16"/>
                <w:lang w:val="id-ID"/>
              </w:rPr>
            </w:pPr>
            <w:r w:rsidRPr="00A50E7E">
              <w:rPr>
                <w:rFonts w:eastAsia="Times New Roman"/>
                <w:bCs/>
                <w:spacing w:val="-10"/>
                <w:sz w:val="16"/>
                <w:szCs w:val="16"/>
                <w:lang w:val="id-ID"/>
              </w:rPr>
              <w:t>α</w:t>
            </w:r>
          </w:p>
        </w:tc>
        <w:tc>
          <w:tcPr>
            <w:tcW w:w="0" w:type="auto"/>
            <w:tcBorders>
              <w:top w:val="single" w:sz="12" w:space="0" w:color="auto"/>
              <w:bottom w:val="single" w:sz="2" w:space="0" w:color="auto"/>
            </w:tcBorders>
            <w:shd w:val="clear" w:color="auto" w:fill="auto"/>
          </w:tcPr>
          <w:p w14:paraId="525854F8" w14:textId="77777777" w:rsidR="007206AB" w:rsidRPr="00A50E7E" w:rsidRDefault="007206AB" w:rsidP="00716970">
            <w:pPr>
              <w:widowControl w:val="0"/>
              <w:autoSpaceDE w:val="0"/>
              <w:autoSpaceDN w:val="0"/>
              <w:spacing w:after="0"/>
              <w:ind w:left="31"/>
              <w:rPr>
                <w:rFonts w:eastAsia="Times New Roman"/>
                <w:bCs/>
                <w:sz w:val="16"/>
                <w:szCs w:val="16"/>
                <w:lang w:val="id-ID"/>
              </w:rPr>
            </w:pPr>
            <w:r w:rsidRPr="00A50E7E">
              <w:rPr>
                <w:rFonts w:eastAsia="Times New Roman"/>
                <w:bCs/>
                <w:spacing w:val="-2"/>
                <w:sz w:val="16"/>
                <w:szCs w:val="16"/>
                <w:lang w:val="id-ID"/>
              </w:rPr>
              <w:t>Keterangan</w:t>
            </w:r>
          </w:p>
        </w:tc>
      </w:tr>
      <w:tr w:rsidR="007206AB" w:rsidRPr="00A50E7E" w14:paraId="63D9B3C4" w14:textId="77777777" w:rsidTr="00716970">
        <w:trPr>
          <w:trHeight w:val="20"/>
          <w:jc w:val="center"/>
        </w:trPr>
        <w:tc>
          <w:tcPr>
            <w:tcW w:w="0" w:type="auto"/>
            <w:tcBorders>
              <w:top w:val="single" w:sz="2" w:space="0" w:color="auto"/>
            </w:tcBorders>
          </w:tcPr>
          <w:p w14:paraId="74031849" w14:textId="04A065FC" w:rsidR="007206AB" w:rsidRPr="00A50E7E" w:rsidRDefault="007206AB" w:rsidP="00046BFC">
            <w:pPr>
              <w:widowControl w:val="0"/>
              <w:autoSpaceDE w:val="0"/>
              <w:autoSpaceDN w:val="0"/>
              <w:spacing w:after="0"/>
              <w:ind w:left="110"/>
              <w:rPr>
                <w:rFonts w:eastAsia="Times New Roman"/>
                <w:sz w:val="16"/>
                <w:szCs w:val="16"/>
                <w:lang w:val="id-ID"/>
              </w:rPr>
            </w:pPr>
            <w:r w:rsidRPr="00A50E7E">
              <w:rPr>
                <w:rFonts w:eastAsia="Times New Roman"/>
                <w:sz w:val="16"/>
                <w:szCs w:val="16"/>
                <w:lang w:val="id-ID"/>
              </w:rPr>
              <w:t>Struktur</w:t>
            </w:r>
            <w:r w:rsidR="00716970" w:rsidRPr="00A50E7E">
              <w:rPr>
                <w:rFonts w:eastAsia="Times New Roman"/>
                <w:sz w:val="16"/>
                <w:szCs w:val="16"/>
              </w:rPr>
              <w:t xml:space="preserve"> </w:t>
            </w:r>
            <w:r w:rsidRPr="00A50E7E">
              <w:rPr>
                <w:rFonts w:eastAsia="Times New Roman"/>
                <w:sz w:val="16"/>
                <w:szCs w:val="16"/>
                <w:lang w:val="id-ID"/>
              </w:rPr>
              <w:t>Modal</w:t>
            </w:r>
            <w:r w:rsidRPr="00A50E7E">
              <w:rPr>
                <w:rFonts w:eastAsia="Times New Roman"/>
                <w:spacing w:val="80"/>
                <w:sz w:val="16"/>
                <w:szCs w:val="16"/>
                <w:lang w:val="id-ID"/>
              </w:rPr>
              <w:t xml:space="preserve"> </w:t>
            </w:r>
            <w:r w:rsidRPr="00A50E7E">
              <w:rPr>
                <w:rFonts w:eastAsia="Times New Roman"/>
                <w:sz w:val="16"/>
                <w:szCs w:val="16"/>
                <w:lang w:val="id-ID"/>
              </w:rPr>
              <w:t>(X</w:t>
            </w:r>
            <w:r w:rsidRPr="00A50E7E">
              <w:rPr>
                <w:rFonts w:eastAsia="Times New Roman"/>
                <w:sz w:val="16"/>
                <w:szCs w:val="16"/>
                <w:vertAlign w:val="subscript"/>
                <w:lang w:val="id-ID"/>
              </w:rPr>
              <w:t>1</w:t>
            </w:r>
            <w:r w:rsidRPr="00A50E7E">
              <w:rPr>
                <w:rFonts w:eastAsia="Times New Roman"/>
                <w:sz w:val="16"/>
                <w:szCs w:val="16"/>
                <w:lang w:val="id-ID"/>
              </w:rPr>
              <w:t>)</w:t>
            </w:r>
            <w:r w:rsidRPr="00A50E7E">
              <w:rPr>
                <w:rFonts w:eastAsia="Times New Roman"/>
                <w:spacing w:val="80"/>
                <w:sz w:val="16"/>
                <w:szCs w:val="16"/>
                <w:lang w:val="id-ID"/>
              </w:rPr>
              <w:t xml:space="preserve"> </w:t>
            </w:r>
            <w:r w:rsidRPr="00A50E7E">
              <w:rPr>
                <w:rFonts w:eastAsia="Times New Roman"/>
                <w:sz w:val="16"/>
                <w:szCs w:val="16"/>
                <w:lang w:val="id-ID"/>
              </w:rPr>
              <w:t>→</w:t>
            </w:r>
            <w:r w:rsidRPr="00A50E7E">
              <w:rPr>
                <w:rFonts w:eastAsia="Times New Roman"/>
                <w:spacing w:val="80"/>
                <w:sz w:val="16"/>
                <w:szCs w:val="16"/>
                <w:lang w:val="id-ID"/>
              </w:rPr>
              <w:t xml:space="preserve"> </w:t>
            </w:r>
            <w:proofErr w:type="spellStart"/>
            <w:r w:rsidRPr="00A50E7E">
              <w:rPr>
                <w:rFonts w:eastAsia="Times New Roman"/>
                <w:i/>
                <w:sz w:val="16"/>
                <w:szCs w:val="16"/>
                <w:lang w:val="id-ID"/>
              </w:rPr>
              <w:t>Tax</w:t>
            </w:r>
            <w:proofErr w:type="spellEnd"/>
            <w:r w:rsidRPr="00A50E7E">
              <w:rPr>
                <w:rFonts w:eastAsia="Times New Roman"/>
                <w:i/>
                <w:sz w:val="16"/>
                <w:szCs w:val="16"/>
                <w:lang w:val="id-ID"/>
              </w:rPr>
              <w:t xml:space="preserve"> </w:t>
            </w:r>
            <w:proofErr w:type="spellStart"/>
            <w:r w:rsidRPr="00A50E7E">
              <w:rPr>
                <w:rFonts w:eastAsia="Times New Roman"/>
                <w:i/>
                <w:sz w:val="16"/>
                <w:szCs w:val="16"/>
                <w:lang w:val="id-ID"/>
              </w:rPr>
              <w:t>Avoidance</w:t>
            </w:r>
            <w:proofErr w:type="spellEnd"/>
            <w:r w:rsidRPr="00A50E7E">
              <w:rPr>
                <w:rFonts w:eastAsia="Times New Roman"/>
                <w:i/>
                <w:sz w:val="16"/>
                <w:szCs w:val="16"/>
                <w:lang w:val="id-ID"/>
              </w:rPr>
              <w:t xml:space="preserve"> </w:t>
            </w:r>
            <w:r w:rsidRPr="00A50E7E">
              <w:rPr>
                <w:rFonts w:eastAsia="Times New Roman"/>
                <w:sz w:val="16"/>
                <w:szCs w:val="16"/>
                <w:lang w:val="id-ID"/>
              </w:rPr>
              <w:t>(Y)</w:t>
            </w:r>
          </w:p>
        </w:tc>
        <w:tc>
          <w:tcPr>
            <w:tcW w:w="0" w:type="auto"/>
            <w:tcBorders>
              <w:top w:val="single" w:sz="2" w:space="0" w:color="auto"/>
            </w:tcBorders>
          </w:tcPr>
          <w:p w14:paraId="35C79099" w14:textId="77777777" w:rsidR="007206AB" w:rsidRPr="00A50E7E" w:rsidRDefault="007206AB" w:rsidP="00716970">
            <w:pPr>
              <w:widowControl w:val="0"/>
              <w:autoSpaceDE w:val="0"/>
              <w:autoSpaceDN w:val="0"/>
              <w:spacing w:after="0"/>
              <w:ind w:left="24" w:right="1"/>
              <w:jc w:val="right"/>
              <w:rPr>
                <w:rFonts w:eastAsia="Times New Roman"/>
                <w:sz w:val="16"/>
                <w:szCs w:val="16"/>
                <w:lang w:val="id-ID"/>
              </w:rPr>
            </w:pPr>
            <w:r w:rsidRPr="00A50E7E">
              <w:rPr>
                <w:rFonts w:eastAsia="Times New Roman"/>
                <w:sz w:val="16"/>
                <w:szCs w:val="16"/>
                <w:lang w:val="id-ID"/>
              </w:rPr>
              <w:t>-</w:t>
            </w:r>
            <w:r w:rsidRPr="00A50E7E">
              <w:rPr>
                <w:rFonts w:eastAsia="Times New Roman"/>
                <w:spacing w:val="-2"/>
                <w:sz w:val="16"/>
                <w:szCs w:val="16"/>
                <w:lang w:val="id-ID"/>
              </w:rPr>
              <w:t>0,1187</w:t>
            </w:r>
          </w:p>
        </w:tc>
        <w:tc>
          <w:tcPr>
            <w:tcW w:w="0" w:type="auto"/>
            <w:tcBorders>
              <w:top w:val="single" w:sz="2" w:space="0" w:color="auto"/>
            </w:tcBorders>
          </w:tcPr>
          <w:p w14:paraId="4402FC99" w14:textId="77777777" w:rsidR="007206AB" w:rsidRPr="00A50E7E" w:rsidRDefault="007206AB" w:rsidP="00716970">
            <w:pPr>
              <w:widowControl w:val="0"/>
              <w:autoSpaceDE w:val="0"/>
              <w:autoSpaceDN w:val="0"/>
              <w:spacing w:after="0"/>
              <w:ind w:left="25"/>
              <w:jc w:val="right"/>
              <w:rPr>
                <w:rFonts w:eastAsia="Times New Roman"/>
                <w:sz w:val="16"/>
                <w:szCs w:val="16"/>
                <w:lang w:val="id-ID"/>
              </w:rPr>
            </w:pPr>
            <w:r w:rsidRPr="00A50E7E">
              <w:rPr>
                <w:rFonts w:eastAsia="Times New Roman"/>
                <w:spacing w:val="-2"/>
                <w:sz w:val="16"/>
                <w:szCs w:val="16"/>
                <w:lang w:val="id-ID"/>
              </w:rPr>
              <w:t>1,9739</w:t>
            </w:r>
          </w:p>
        </w:tc>
        <w:tc>
          <w:tcPr>
            <w:tcW w:w="0" w:type="auto"/>
            <w:tcBorders>
              <w:top w:val="single" w:sz="2" w:space="0" w:color="auto"/>
            </w:tcBorders>
          </w:tcPr>
          <w:p w14:paraId="41A14A35" w14:textId="77777777" w:rsidR="007206AB" w:rsidRPr="00A50E7E" w:rsidRDefault="007206AB" w:rsidP="00716970">
            <w:pPr>
              <w:widowControl w:val="0"/>
              <w:autoSpaceDE w:val="0"/>
              <w:autoSpaceDN w:val="0"/>
              <w:spacing w:after="0"/>
              <w:ind w:left="-696" w:right="204"/>
              <w:jc w:val="right"/>
              <w:rPr>
                <w:rFonts w:eastAsia="Times New Roman"/>
                <w:sz w:val="16"/>
                <w:szCs w:val="16"/>
                <w:lang w:val="id-ID"/>
              </w:rPr>
            </w:pPr>
            <w:r w:rsidRPr="00A50E7E">
              <w:rPr>
                <w:rFonts w:eastAsia="Times New Roman"/>
                <w:spacing w:val="-4"/>
                <w:sz w:val="16"/>
                <w:szCs w:val="16"/>
                <w:lang w:val="id-ID"/>
              </w:rPr>
              <w:t>0,91</w:t>
            </w:r>
          </w:p>
        </w:tc>
        <w:tc>
          <w:tcPr>
            <w:tcW w:w="0" w:type="auto"/>
            <w:tcBorders>
              <w:top w:val="single" w:sz="2" w:space="0" w:color="auto"/>
            </w:tcBorders>
          </w:tcPr>
          <w:p w14:paraId="63A897D0" w14:textId="77777777" w:rsidR="007206AB" w:rsidRPr="00A50E7E" w:rsidRDefault="007206AB" w:rsidP="00716970">
            <w:pPr>
              <w:widowControl w:val="0"/>
              <w:autoSpaceDE w:val="0"/>
              <w:autoSpaceDN w:val="0"/>
              <w:spacing w:after="0"/>
              <w:ind w:left="32" w:right="2"/>
              <w:jc w:val="right"/>
              <w:rPr>
                <w:rFonts w:eastAsia="Times New Roman"/>
                <w:sz w:val="16"/>
                <w:szCs w:val="16"/>
                <w:lang w:val="id-ID"/>
              </w:rPr>
            </w:pPr>
            <w:r w:rsidRPr="00A50E7E">
              <w:rPr>
                <w:rFonts w:eastAsia="Times New Roman"/>
                <w:spacing w:val="-4"/>
                <w:sz w:val="16"/>
                <w:szCs w:val="16"/>
                <w:lang w:val="id-ID"/>
              </w:rPr>
              <w:t>0,05</w:t>
            </w:r>
          </w:p>
        </w:tc>
        <w:tc>
          <w:tcPr>
            <w:tcW w:w="0" w:type="auto"/>
            <w:tcBorders>
              <w:top w:val="single" w:sz="2" w:space="0" w:color="auto"/>
            </w:tcBorders>
          </w:tcPr>
          <w:p w14:paraId="55D4E81E" w14:textId="77777777" w:rsidR="007206AB" w:rsidRPr="00A50E7E" w:rsidRDefault="007206AB" w:rsidP="00716970">
            <w:pPr>
              <w:widowControl w:val="0"/>
              <w:autoSpaceDE w:val="0"/>
              <w:autoSpaceDN w:val="0"/>
              <w:spacing w:after="0"/>
              <w:rPr>
                <w:rFonts w:eastAsia="Times New Roman"/>
                <w:sz w:val="16"/>
                <w:szCs w:val="16"/>
                <w:lang w:val="id-ID"/>
              </w:rPr>
            </w:pPr>
            <w:r w:rsidRPr="00A50E7E">
              <w:rPr>
                <w:rFonts w:eastAsia="Times New Roman"/>
                <w:spacing w:val="-2"/>
                <w:sz w:val="16"/>
                <w:szCs w:val="16"/>
                <w:lang w:val="id-ID"/>
              </w:rPr>
              <w:t>Tidak Signifikan</w:t>
            </w:r>
          </w:p>
        </w:tc>
      </w:tr>
      <w:tr w:rsidR="007206AB" w:rsidRPr="00A50E7E" w14:paraId="45542C8B" w14:textId="77777777" w:rsidTr="00716970">
        <w:trPr>
          <w:trHeight w:val="20"/>
          <w:jc w:val="center"/>
        </w:trPr>
        <w:tc>
          <w:tcPr>
            <w:tcW w:w="0" w:type="auto"/>
          </w:tcPr>
          <w:p w14:paraId="31D2637C" w14:textId="77777777" w:rsidR="007206AB" w:rsidRPr="00A50E7E" w:rsidRDefault="007206AB" w:rsidP="00046BFC">
            <w:pPr>
              <w:widowControl w:val="0"/>
              <w:tabs>
                <w:tab w:val="left" w:pos="1635"/>
                <w:tab w:val="left" w:pos="2334"/>
                <w:tab w:val="left" w:pos="2858"/>
              </w:tabs>
              <w:autoSpaceDE w:val="0"/>
              <w:autoSpaceDN w:val="0"/>
              <w:spacing w:after="0"/>
              <w:ind w:left="110" w:right="77"/>
              <w:rPr>
                <w:rFonts w:eastAsia="Times New Roman"/>
                <w:sz w:val="16"/>
                <w:szCs w:val="16"/>
                <w:lang w:val="id-ID"/>
              </w:rPr>
            </w:pPr>
            <w:r w:rsidRPr="00A50E7E">
              <w:rPr>
                <w:rFonts w:eastAsia="Times New Roman"/>
                <w:spacing w:val="-2"/>
                <w:sz w:val="16"/>
                <w:szCs w:val="16"/>
                <w:lang w:val="id-ID"/>
              </w:rPr>
              <w:t>Profitabilitas</w:t>
            </w:r>
            <w:r w:rsidRPr="00A50E7E">
              <w:rPr>
                <w:rFonts w:eastAsia="Times New Roman"/>
                <w:sz w:val="16"/>
                <w:szCs w:val="16"/>
                <w:lang w:val="id-ID"/>
              </w:rPr>
              <w:t xml:space="preserve"> </w:t>
            </w:r>
            <w:r w:rsidRPr="00A50E7E">
              <w:rPr>
                <w:rFonts w:eastAsia="Times New Roman"/>
                <w:spacing w:val="-4"/>
                <w:sz w:val="16"/>
                <w:szCs w:val="16"/>
                <w:lang w:val="id-ID"/>
              </w:rPr>
              <w:t>(X</w:t>
            </w:r>
            <w:r w:rsidRPr="00A50E7E">
              <w:rPr>
                <w:rFonts w:eastAsia="Times New Roman"/>
                <w:spacing w:val="-4"/>
                <w:sz w:val="16"/>
                <w:szCs w:val="16"/>
                <w:vertAlign w:val="subscript"/>
                <w:lang w:val="id-ID"/>
              </w:rPr>
              <w:t>2</w:t>
            </w:r>
            <w:r w:rsidRPr="00A50E7E">
              <w:rPr>
                <w:rFonts w:eastAsia="Times New Roman"/>
                <w:spacing w:val="-4"/>
                <w:sz w:val="16"/>
                <w:szCs w:val="16"/>
                <w:lang w:val="id-ID"/>
              </w:rPr>
              <w:t>)</w:t>
            </w:r>
            <w:r w:rsidR="002A2F1B" w:rsidRPr="00A50E7E">
              <w:rPr>
                <w:rFonts w:eastAsia="Times New Roman"/>
                <w:sz w:val="16"/>
                <w:szCs w:val="16"/>
                <w:lang w:val="id-ID"/>
              </w:rPr>
              <w:t xml:space="preserve"> </w:t>
            </w:r>
            <w:r w:rsidR="002A2F1B" w:rsidRPr="00A50E7E">
              <w:rPr>
                <w:rFonts w:eastAsia="Times New Roman"/>
                <w:i/>
                <w:spacing w:val="-4"/>
                <w:sz w:val="16"/>
                <w:szCs w:val="16"/>
                <w:lang w:val="id-ID"/>
              </w:rPr>
              <w:t xml:space="preserve">→ </w:t>
            </w:r>
            <w:proofErr w:type="spellStart"/>
            <w:r w:rsidRPr="00A50E7E">
              <w:rPr>
                <w:rFonts w:eastAsia="Times New Roman"/>
                <w:i/>
                <w:spacing w:val="-4"/>
                <w:sz w:val="16"/>
                <w:szCs w:val="16"/>
                <w:lang w:val="id-ID"/>
              </w:rPr>
              <w:t>Tax</w:t>
            </w:r>
            <w:proofErr w:type="spellEnd"/>
            <w:r w:rsidRPr="00A50E7E">
              <w:rPr>
                <w:rFonts w:eastAsia="Times New Roman"/>
                <w:i/>
                <w:spacing w:val="-4"/>
                <w:sz w:val="16"/>
                <w:szCs w:val="16"/>
                <w:lang w:val="id-ID"/>
              </w:rPr>
              <w:t xml:space="preserve"> </w:t>
            </w:r>
            <w:proofErr w:type="spellStart"/>
            <w:r w:rsidRPr="00A50E7E">
              <w:rPr>
                <w:rFonts w:eastAsia="Times New Roman"/>
                <w:i/>
                <w:sz w:val="16"/>
                <w:szCs w:val="16"/>
                <w:lang w:val="id-ID"/>
              </w:rPr>
              <w:t>Avoidance</w:t>
            </w:r>
            <w:proofErr w:type="spellEnd"/>
            <w:r w:rsidRPr="00A50E7E">
              <w:rPr>
                <w:rFonts w:eastAsia="Times New Roman"/>
                <w:i/>
                <w:sz w:val="16"/>
                <w:szCs w:val="16"/>
                <w:lang w:val="id-ID"/>
              </w:rPr>
              <w:t xml:space="preserve"> </w:t>
            </w:r>
            <w:r w:rsidRPr="00A50E7E">
              <w:rPr>
                <w:rFonts w:eastAsia="Times New Roman"/>
                <w:sz w:val="16"/>
                <w:szCs w:val="16"/>
                <w:lang w:val="id-ID"/>
              </w:rPr>
              <w:t>(Y)</w:t>
            </w:r>
          </w:p>
        </w:tc>
        <w:tc>
          <w:tcPr>
            <w:tcW w:w="0" w:type="auto"/>
          </w:tcPr>
          <w:p w14:paraId="6F3F5A7F" w14:textId="77777777" w:rsidR="007206AB" w:rsidRPr="00A50E7E" w:rsidRDefault="007206AB" w:rsidP="00716970">
            <w:pPr>
              <w:widowControl w:val="0"/>
              <w:autoSpaceDE w:val="0"/>
              <w:autoSpaceDN w:val="0"/>
              <w:spacing w:after="0"/>
              <w:ind w:left="24"/>
              <w:jc w:val="right"/>
              <w:rPr>
                <w:rFonts w:eastAsia="Times New Roman"/>
                <w:sz w:val="16"/>
                <w:szCs w:val="16"/>
                <w:lang w:val="id-ID"/>
              </w:rPr>
            </w:pPr>
            <w:r w:rsidRPr="00A50E7E">
              <w:rPr>
                <w:rFonts w:eastAsia="Times New Roman"/>
                <w:spacing w:val="-2"/>
                <w:sz w:val="16"/>
                <w:szCs w:val="16"/>
                <w:lang w:val="id-ID"/>
              </w:rPr>
              <w:t>2,0939</w:t>
            </w:r>
          </w:p>
        </w:tc>
        <w:tc>
          <w:tcPr>
            <w:tcW w:w="0" w:type="auto"/>
          </w:tcPr>
          <w:p w14:paraId="6C7F9ACB" w14:textId="77777777" w:rsidR="007206AB" w:rsidRPr="00A50E7E" w:rsidRDefault="007206AB" w:rsidP="00716970">
            <w:pPr>
              <w:widowControl w:val="0"/>
              <w:autoSpaceDE w:val="0"/>
              <w:autoSpaceDN w:val="0"/>
              <w:spacing w:after="0"/>
              <w:ind w:left="25"/>
              <w:jc w:val="right"/>
              <w:rPr>
                <w:rFonts w:eastAsia="Times New Roman"/>
                <w:sz w:val="16"/>
                <w:szCs w:val="16"/>
                <w:lang w:val="id-ID"/>
              </w:rPr>
            </w:pPr>
            <w:r w:rsidRPr="00A50E7E">
              <w:rPr>
                <w:rFonts w:eastAsia="Times New Roman"/>
                <w:spacing w:val="-2"/>
                <w:sz w:val="16"/>
                <w:szCs w:val="16"/>
                <w:lang w:val="id-ID"/>
              </w:rPr>
              <w:t>1,9739</w:t>
            </w:r>
          </w:p>
        </w:tc>
        <w:tc>
          <w:tcPr>
            <w:tcW w:w="0" w:type="auto"/>
          </w:tcPr>
          <w:p w14:paraId="766243DF" w14:textId="77777777" w:rsidR="007206AB" w:rsidRPr="00A50E7E" w:rsidRDefault="007206AB" w:rsidP="00716970">
            <w:pPr>
              <w:widowControl w:val="0"/>
              <w:autoSpaceDE w:val="0"/>
              <w:autoSpaceDN w:val="0"/>
              <w:spacing w:after="0"/>
              <w:ind w:left="-696" w:right="204"/>
              <w:jc w:val="right"/>
              <w:rPr>
                <w:rFonts w:eastAsia="Times New Roman"/>
                <w:sz w:val="16"/>
                <w:szCs w:val="16"/>
                <w:lang w:val="id-ID"/>
              </w:rPr>
            </w:pPr>
            <w:r w:rsidRPr="00A50E7E">
              <w:rPr>
                <w:rFonts w:eastAsia="Times New Roman"/>
                <w:spacing w:val="-4"/>
                <w:sz w:val="16"/>
                <w:szCs w:val="16"/>
                <w:lang w:val="id-ID"/>
              </w:rPr>
              <w:t>0,04</w:t>
            </w:r>
          </w:p>
        </w:tc>
        <w:tc>
          <w:tcPr>
            <w:tcW w:w="0" w:type="auto"/>
          </w:tcPr>
          <w:p w14:paraId="32D2B208" w14:textId="77777777" w:rsidR="007206AB" w:rsidRPr="00A50E7E" w:rsidRDefault="007206AB" w:rsidP="00716970">
            <w:pPr>
              <w:widowControl w:val="0"/>
              <w:autoSpaceDE w:val="0"/>
              <w:autoSpaceDN w:val="0"/>
              <w:spacing w:after="0"/>
              <w:ind w:left="32" w:right="2"/>
              <w:jc w:val="right"/>
              <w:rPr>
                <w:rFonts w:eastAsia="Times New Roman"/>
                <w:sz w:val="16"/>
                <w:szCs w:val="16"/>
                <w:lang w:val="id-ID"/>
              </w:rPr>
            </w:pPr>
            <w:r w:rsidRPr="00A50E7E">
              <w:rPr>
                <w:rFonts w:eastAsia="Times New Roman"/>
                <w:spacing w:val="-4"/>
                <w:sz w:val="16"/>
                <w:szCs w:val="16"/>
                <w:lang w:val="id-ID"/>
              </w:rPr>
              <w:t>0,05</w:t>
            </w:r>
          </w:p>
        </w:tc>
        <w:tc>
          <w:tcPr>
            <w:tcW w:w="0" w:type="auto"/>
          </w:tcPr>
          <w:p w14:paraId="5804A5A9" w14:textId="77777777" w:rsidR="007206AB" w:rsidRPr="00A50E7E" w:rsidRDefault="007206AB" w:rsidP="00716970">
            <w:pPr>
              <w:widowControl w:val="0"/>
              <w:autoSpaceDE w:val="0"/>
              <w:autoSpaceDN w:val="0"/>
              <w:spacing w:after="0"/>
              <w:ind w:left="31" w:right="6"/>
              <w:rPr>
                <w:rFonts w:eastAsia="Times New Roman"/>
                <w:sz w:val="16"/>
                <w:szCs w:val="16"/>
                <w:lang w:val="id-ID"/>
              </w:rPr>
            </w:pPr>
            <w:r w:rsidRPr="00A50E7E">
              <w:rPr>
                <w:rFonts w:eastAsia="Times New Roman"/>
                <w:spacing w:val="-2"/>
                <w:sz w:val="16"/>
                <w:szCs w:val="16"/>
                <w:lang w:val="id-ID"/>
              </w:rPr>
              <w:t>Signifikan</w:t>
            </w:r>
          </w:p>
        </w:tc>
      </w:tr>
      <w:tr w:rsidR="007206AB" w:rsidRPr="00A50E7E" w14:paraId="39DD30A4" w14:textId="77777777" w:rsidTr="00716970">
        <w:trPr>
          <w:trHeight w:val="20"/>
          <w:jc w:val="center"/>
        </w:trPr>
        <w:tc>
          <w:tcPr>
            <w:tcW w:w="0" w:type="auto"/>
            <w:tcBorders>
              <w:bottom w:val="single" w:sz="2" w:space="0" w:color="auto"/>
            </w:tcBorders>
          </w:tcPr>
          <w:p w14:paraId="493DBCC4" w14:textId="77777777" w:rsidR="007206AB" w:rsidRPr="00A50E7E" w:rsidRDefault="007206AB" w:rsidP="00046BFC">
            <w:pPr>
              <w:widowControl w:val="0"/>
              <w:autoSpaceDE w:val="0"/>
              <w:autoSpaceDN w:val="0"/>
              <w:spacing w:after="0"/>
              <w:ind w:left="110"/>
              <w:rPr>
                <w:rFonts w:eastAsia="Times New Roman"/>
                <w:sz w:val="16"/>
                <w:szCs w:val="16"/>
                <w:lang w:val="id-ID"/>
              </w:rPr>
            </w:pPr>
            <w:r w:rsidRPr="00A50E7E">
              <w:rPr>
                <w:rFonts w:eastAsia="Times New Roman"/>
                <w:sz w:val="16"/>
                <w:szCs w:val="16"/>
                <w:lang w:val="id-ID"/>
              </w:rPr>
              <w:t>Ukuran</w:t>
            </w:r>
            <w:r w:rsidRPr="00A50E7E">
              <w:rPr>
                <w:rFonts w:eastAsia="Times New Roman"/>
                <w:spacing w:val="-2"/>
                <w:sz w:val="16"/>
                <w:szCs w:val="16"/>
                <w:lang w:val="id-ID"/>
              </w:rPr>
              <w:t xml:space="preserve"> </w:t>
            </w:r>
            <w:r w:rsidRPr="00A50E7E">
              <w:rPr>
                <w:rFonts w:eastAsia="Times New Roman"/>
                <w:sz w:val="16"/>
                <w:szCs w:val="16"/>
                <w:lang w:val="id-ID"/>
              </w:rPr>
              <w:t>Perusahaan</w:t>
            </w:r>
            <w:r w:rsidRPr="00A50E7E">
              <w:rPr>
                <w:rFonts w:eastAsia="Times New Roman"/>
                <w:spacing w:val="-2"/>
                <w:sz w:val="16"/>
                <w:szCs w:val="16"/>
                <w:lang w:val="id-ID"/>
              </w:rPr>
              <w:t xml:space="preserve"> </w:t>
            </w:r>
            <w:r w:rsidRPr="00A50E7E">
              <w:rPr>
                <w:rFonts w:eastAsia="Times New Roman"/>
                <w:sz w:val="16"/>
                <w:szCs w:val="16"/>
                <w:lang w:val="id-ID"/>
              </w:rPr>
              <w:t>(X</w:t>
            </w:r>
            <w:r w:rsidRPr="00A50E7E">
              <w:rPr>
                <w:rFonts w:eastAsia="Times New Roman"/>
                <w:sz w:val="16"/>
                <w:szCs w:val="16"/>
                <w:vertAlign w:val="subscript"/>
                <w:lang w:val="id-ID"/>
              </w:rPr>
              <w:t>3</w:t>
            </w:r>
            <w:r w:rsidRPr="00A50E7E">
              <w:rPr>
                <w:rFonts w:eastAsia="Times New Roman"/>
                <w:sz w:val="16"/>
                <w:szCs w:val="16"/>
                <w:lang w:val="id-ID"/>
              </w:rPr>
              <w:t>)</w:t>
            </w:r>
            <w:r w:rsidRPr="00A50E7E">
              <w:rPr>
                <w:rFonts w:eastAsia="Times New Roman"/>
                <w:spacing w:val="-2"/>
                <w:sz w:val="16"/>
                <w:szCs w:val="16"/>
                <w:lang w:val="id-ID"/>
              </w:rPr>
              <w:t xml:space="preserve"> </w:t>
            </w:r>
            <w:r w:rsidRPr="00A50E7E">
              <w:rPr>
                <w:rFonts w:eastAsia="Times New Roman"/>
                <w:sz w:val="16"/>
                <w:szCs w:val="16"/>
                <w:lang w:val="id-ID"/>
              </w:rPr>
              <w:t>→</w:t>
            </w:r>
            <w:r w:rsidRPr="00A50E7E">
              <w:rPr>
                <w:rFonts w:eastAsia="Times New Roman"/>
                <w:spacing w:val="-1"/>
                <w:sz w:val="16"/>
                <w:szCs w:val="16"/>
                <w:lang w:val="id-ID"/>
              </w:rPr>
              <w:t xml:space="preserve"> </w:t>
            </w:r>
            <w:proofErr w:type="spellStart"/>
            <w:r w:rsidRPr="00A50E7E">
              <w:rPr>
                <w:rFonts w:eastAsia="Times New Roman"/>
                <w:i/>
                <w:sz w:val="16"/>
                <w:szCs w:val="16"/>
                <w:lang w:val="id-ID"/>
              </w:rPr>
              <w:t>Tax</w:t>
            </w:r>
            <w:proofErr w:type="spellEnd"/>
            <w:r w:rsidRPr="00A50E7E">
              <w:rPr>
                <w:rFonts w:eastAsia="Times New Roman"/>
                <w:i/>
                <w:sz w:val="16"/>
                <w:szCs w:val="16"/>
                <w:lang w:val="id-ID"/>
              </w:rPr>
              <w:t xml:space="preserve"> </w:t>
            </w:r>
            <w:proofErr w:type="spellStart"/>
            <w:r w:rsidRPr="00A50E7E">
              <w:rPr>
                <w:rFonts w:eastAsia="Times New Roman"/>
                <w:i/>
                <w:sz w:val="16"/>
                <w:szCs w:val="16"/>
                <w:lang w:val="id-ID"/>
              </w:rPr>
              <w:t>Avoidance</w:t>
            </w:r>
            <w:proofErr w:type="spellEnd"/>
            <w:r w:rsidRPr="00A50E7E">
              <w:rPr>
                <w:rFonts w:eastAsia="Times New Roman"/>
                <w:i/>
                <w:sz w:val="16"/>
                <w:szCs w:val="16"/>
                <w:lang w:val="id-ID"/>
              </w:rPr>
              <w:t xml:space="preserve"> </w:t>
            </w:r>
            <w:r w:rsidRPr="00A50E7E">
              <w:rPr>
                <w:rFonts w:eastAsia="Times New Roman"/>
                <w:sz w:val="16"/>
                <w:szCs w:val="16"/>
                <w:lang w:val="id-ID"/>
              </w:rPr>
              <w:t>(Y)</w:t>
            </w:r>
          </w:p>
        </w:tc>
        <w:tc>
          <w:tcPr>
            <w:tcW w:w="0" w:type="auto"/>
            <w:tcBorders>
              <w:bottom w:val="single" w:sz="2" w:space="0" w:color="auto"/>
            </w:tcBorders>
          </w:tcPr>
          <w:p w14:paraId="607F9719" w14:textId="77777777" w:rsidR="007206AB" w:rsidRPr="00A50E7E" w:rsidRDefault="007206AB" w:rsidP="00716970">
            <w:pPr>
              <w:widowControl w:val="0"/>
              <w:autoSpaceDE w:val="0"/>
              <w:autoSpaceDN w:val="0"/>
              <w:spacing w:after="0"/>
              <w:ind w:left="24"/>
              <w:jc w:val="right"/>
              <w:rPr>
                <w:rFonts w:eastAsia="Times New Roman"/>
                <w:sz w:val="16"/>
                <w:szCs w:val="16"/>
                <w:lang w:val="id-ID"/>
              </w:rPr>
            </w:pPr>
            <w:r w:rsidRPr="00A50E7E">
              <w:rPr>
                <w:rFonts w:eastAsia="Times New Roman"/>
                <w:spacing w:val="-2"/>
                <w:sz w:val="16"/>
                <w:szCs w:val="16"/>
                <w:lang w:val="id-ID"/>
              </w:rPr>
              <w:t>2,5575</w:t>
            </w:r>
          </w:p>
        </w:tc>
        <w:tc>
          <w:tcPr>
            <w:tcW w:w="0" w:type="auto"/>
            <w:tcBorders>
              <w:bottom w:val="single" w:sz="2" w:space="0" w:color="auto"/>
            </w:tcBorders>
          </w:tcPr>
          <w:p w14:paraId="19D48981" w14:textId="77777777" w:rsidR="007206AB" w:rsidRPr="00A50E7E" w:rsidRDefault="007206AB" w:rsidP="00716970">
            <w:pPr>
              <w:widowControl w:val="0"/>
              <w:autoSpaceDE w:val="0"/>
              <w:autoSpaceDN w:val="0"/>
              <w:spacing w:after="0"/>
              <w:ind w:left="25"/>
              <w:jc w:val="right"/>
              <w:rPr>
                <w:rFonts w:eastAsia="Times New Roman"/>
                <w:sz w:val="16"/>
                <w:szCs w:val="16"/>
                <w:lang w:val="id-ID"/>
              </w:rPr>
            </w:pPr>
            <w:r w:rsidRPr="00A50E7E">
              <w:rPr>
                <w:rFonts w:eastAsia="Times New Roman"/>
                <w:spacing w:val="-2"/>
                <w:sz w:val="16"/>
                <w:szCs w:val="16"/>
                <w:lang w:val="id-ID"/>
              </w:rPr>
              <w:t>1,9739</w:t>
            </w:r>
          </w:p>
        </w:tc>
        <w:tc>
          <w:tcPr>
            <w:tcW w:w="0" w:type="auto"/>
            <w:tcBorders>
              <w:bottom w:val="single" w:sz="2" w:space="0" w:color="auto"/>
            </w:tcBorders>
          </w:tcPr>
          <w:p w14:paraId="09ABD12A" w14:textId="77777777" w:rsidR="007206AB" w:rsidRPr="00A50E7E" w:rsidRDefault="007206AB" w:rsidP="00716970">
            <w:pPr>
              <w:widowControl w:val="0"/>
              <w:autoSpaceDE w:val="0"/>
              <w:autoSpaceDN w:val="0"/>
              <w:spacing w:after="0"/>
              <w:ind w:left="-696" w:right="204"/>
              <w:jc w:val="right"/>
              <w:rPr>
                <w:rFonts w:eastAsia="Times New Roman"/>
                <w:sz w:val="16"/>
                <w:szCs w:val="16"/>
                <w:lang w:val="id-ID"/>
              </w:rPr>
            </w:pPr>
            <w:r w:rsidRPr="00A50E7E">
              <w:rPr>
                <w:rFonts w:eastAsia="Times New Roman"/>
                <w:spacing w:val="-4"/>
                <w:sz w:val="16"/>
                <w:szCs w:val="16"/>
                <w:lang w:val="id-ID"/>
              </w:rPr>
              <w:t>0,01</w:t>
            </w:r>
          </w:p>
        </w:tc>
        <w:tc>
          <w:tcPr>
            <w:tcW w:w="0" w:type="auto"/>
            <w:tcBorders>
              <w:bottom w:val="single" w:sz="2" w:space="0" w:color="auto"/>
            </w:tcBorders>
          </w:tcPr>
          <w:p w14:paraId="1F83EDAF" w14:textId="77777777" w:rsidR="007206AB" w:rsidRPr="00A50E7E" w:rsidRDefault="007206AB" w:rsidP="00716970">
            <w:pPr>
              <w:widowControl w:val="0"/>
              <w:autoSpaceDE w:val="0"/>
              <w:autoSpaceDN w:val="0"/>
              <w:spacing w:after="0"/>
              <w:ind w:left="32" w:right="2"/>
              <w:jc w:val="right"/>
              <w:rPr>
                <w:rFonts w:eastAsia="Times New Roman"/>
                <w:sz w:val="16"/>
                <w:szCs w:val="16"/>
                <w:lang w:val="id-ID"/>
              </w:rPr>
            </w:pPr>
            <w:r w:rsidRPr="00A50E7E">
              <w:rPr>
                <w:rFonts w:eastAsia="Times New Roman"/>
                <w:spacing w:val="-4"/>
                <w:sz w:val="16"/>
                <w:szCs w:val="16"/>
                <w:lang w:val="id-ID"/>
              </w:rPr>
              <w:t>0,05</w:t>
            </w:r>
          </w:p>
        </w:tc>
        <w:tc>
          <w:tcPr>
            <w:tcW w:w="0" w:type="auto"/>
            <w:tcBorders>
              <w:bottom w:val="single" w:sz="2" w:space="0" w:color="auto"/>
            </w:tcBorders>
          </w:tcPr>
          <w:p w14:paraId="2342199C" w14:textId="77777777" w:rsidR="007206AB" w:rsidRPr="00A50E7E" w:rsidRDefault="007206AB" w:rsidP="00716970">
            <w:pPr>
              <w:widowControl w:val="0"/>
              <w:autoSpaceDE w:val="0"/>
              <w:autoSpaceDN w:val="0"/>
              <w:spacing w:after="0"/>
              <w:ind w:left="31" w:right="6"/>
              <w:rPr>
                <w:rFonts w:eastAsia="Times New Roman"/>
                <w:sz w:val="16"/>
                <w:szCs w:val="16"/>
                <w:lang w:val="id-ID"/>
              </w:rPr>
            </w:pPr>
            <w:r w:rsidRPr="00A50E7E">
              <w:rPr>
                <w:rFonts w:eastAsia="Times New Roman"/>
                <w:spacing w:val="-2"/>
                <w:sz w:val="16"/>
                <w:szCs w:val="16"/>
                <w:lang w:val="id-ID"/>
              </w:rPr>
              <w:t>Signifikan</w:t>
            </w:r>
          </w:p>
        </w:tc>
      </w:tr>
    </w:tbl>
    <w:p w14:paraId="63CA9C3C" w14:textId="77777777" w:rsidR="00716970" w:rsidRPr="00A50E7E" w:rsidRDefault="00716970" w:rsidP="00DD60E7">
      <w:pPr>
        <w:spacing w:before="120" w:after="120"/>
        <w:rPr>
          <w:color w:val="000000"/>
          <w:sz w:val="16"/>
          <w:szCs w:val="18"/>
          <w:lang w:val="id-ID"/>
        </w:rPr>
        <w:sectPr w:rsidR="00716970" w:rsidRPr="00A50E7E" w:rsidSect="00716970">
          <w:type w:val="continuous"/>
          <w:pgSz w:w="11906" w:h="16838"/>
          <w:pgMar w:top="1344" w:right="1411" w:bottom="1411" w:left="1411" w:header="706" w:footer="706" w:gutter="0"/>
          <w:cols w:space="156"/>
          <w:docGrid w:linePitch="360"/>
        </w:sectPr>
      </w:pPr>
    </w:p>
    <w:p w14:paraId="10B646C8" w14:textId="1EA3AFDA" w:rsidR="00E634F5" w:rsidRPr="00A50E7E" w:rsidRDefault="00E634F5" w:rsidP="00DD60E7">
      <w:pPr>
        <w:spacing w:before="120" w:after="120"/>
        <w:rPr>
          <w:color w:val="000000"/>
          <w:lang w:val="id-ID"/>
        </w:rPr>
      </w:pPr>
      <w:r w:rsidRPr="00A50E7E">
        <w:rPr>
          <w:color w:val="000000"/>
          <w:lang w:val="id-ID"/>
        </w:rPr>
        <w:t xml:space="preserve">Hasil uji parsial (uji t) dapat </w:t>
      </w:r>
      <w:proofErr w:type="spellStart"/>
      <w:r w:rsidR="00716970" w:rsidRPr="00A50E7E">
        <w:rPr>
          <w:color w:val="000000"/>
        </w:rPr>
        <w:t>dilihat</w:t>
      </w:r>
      <w:proofErr w:type="spellEnd"/>
      <w:r w:rsidRPr="00A50E7E">
        <w:rPr>
          <w:color w:val="000000"/>
          <w:lang w:val="id-ID"/>
        </w:rPr>
        <w:t xml:space="preserve"> pada Tabel 5</w:t>
      </w:r>
      <w:r w:rsidR="00716970" w:rsidRPr="00A50E7E">
        <w:rPr>
          <w:color w:val="000000"/>
        </w:rPr>
        <w:t xml:space="preserve">. </w:t>
      </w:r>
      <w:proofErr w:type="spellStart"/>
      <w:r w:rsidR="00716970" w:rsidRPr="00A50E7E">
        <w:rPr>
          <w:color w:val="000000"/>
        </w:rPr>
        <w:t>Penjelasan</w:t>
      </w:r>
      <w:proofErr w:type="spellEnd"/>
      <w:r w:rsidR="00716970" w:rsidRPr="00A50E7E">
        <w:rPr>
          <w:color w:val="000000"/>
        </w:rPr>
        <w:t xml:space="preserve"> </w:t>
      </w:r>
      <w:proofErr w:type="spellStart"/>
      <w:r w:rsidR="00716970" w:rsidRPr="00A50E7E">
        <w:rPr>
          <w:color w:val="000000"/>
        </w:rPr>
        <w:t>Tabel</w:t>
      </w:r>
      <w:proofErr w:type="spellEnd"/>
      <w:r w:rsidR="00716970" w:rsidRPr="00A50E7E">
        <w:rPr>
          <w:color w:val="000000"/>
        </w:rPr>
        <w:t xml:space="preserve"> 5</w:t>
      </w:r>
      <w:r w:rsidRPr="00A50E7E">
        <w:rPr>
          <w:color w:val="000000"/>
          <w:lang w:val="id-ID"/>
        </w:rPr>
        <w:t xml:space="preserve"> </w:t>
      </w:r>
      <w:proofErr w:type="spellStart"/>
      <w:r w:rsidR="00716970" w:rsidRPr="00A50E7E">
        <w:rPr>
          <w:color w:val="000000"/>
        </w:rPr>
        <w:t>adalah</w:t>
      </w:r>
      <w:proofErr w:type="spellEnd"/>
      <w:r w:rsidRPr="00A50E7E">
        <w:rPr>
          <w:color w:val="000000"/>
          <w:lang w:val="id-ID"/>
        </w:rPr>
        <w:t xml:space="preserve"> sebagai berikut:</w:t>
      </w:r>
    </w:p>
    <w:p w14:paraId="3BC60DB2" w14:textId="188E575E" w:rsidR="00E634F5" w:rsidRPr="00A50E7E" w:rsidRDefault="00E634F5" w:rsidP="00DD60E7">
      <w:pPr>
        <w:numPr>
          <w:ilvl w:val="0"/>
          <w:numId w:val="12"/>
        </w:numPr>
        <w:spacing w:before="120" w:after="120"/>
        <w:ind w:left="284"/>
        <w:rPr>
          <w:color w:val="000000"/>
          <w:lang w:val="id-ID"/>
        </w:rPr>
      </w:pPr>
      <w:r w:rsidRPr="00A50E7E">
        <w:rPr>
          <w:color w:val="000000"/>
          <w:lang w:val="id-ID"/>
        </w:rPr>
        <w:t>Pengujian Hipotesis 1</w:t>
      </w:r>
      <w:r w:rsidR="00716970" w:rsidRPr="00A50E7E">
        <w:rPr>
          <w:color w:val="000000"/>
        </w:rPr>
        <w:t>.</w:t>
      </w:r>
      <w:r w:rsidRPr="00A50E7E">
        <w:rPr>
          <w:color w:val="000000"/>
          <w:lang w:val="id-ID"/>
        </w:rPr>
        <w:t xml:space="preserve"> Hipotesis pertama yang diajukan pada penelitian ini menyatakan bahwa H</w:t>
      </w:r>
      <w:r w:rsidRPr="00A50E7E">
        <w:rPr>
          <w:color w:val="000000"/>
          <w:vertAlign w:val="subscript"/>
          <w:lang w:val="id-ID"/>
        </w:rPr>
        <w:t>1</w:t>
      </w:r>
      <w:r w:rsidRPr="00A50E7E">
        <w:rPr>
          <w:color w:val="000000"/>
          <w:lang w:val="id-ID"/>
        </w:rPr>
        <w:t>: Struktur Modal (X</w:t>
      </w:r>
      <w:r w:rsidRPr="00A50E7E">
        <w:rPr>
          <w:color w:val="000000"/>
          <w:vertAlign w:val="subscript"/>
          <w:lang w:val="id-ID"/>
        </w:rPr>
        <w:t>1</w:t>
      </w:r>
      <w:r w:rsidRPr="00A50E7E">
        <w:rPr>
          <w:color w:val="000000"/>
          <w:lang w:val="id-ID"/>
        </w:rPr>
        <w:t xml:space="preserve">)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Berdasarkan hasil uji parsial (uji t), Struktur Modal (X</w:t>
      </w:r>
      <w:r w:rsidRPr="00A50E7E">
        <w:rPr>
          <w:color w:val="000000"/>
          <w:vertAlign w:val="subscript"/>
          <w:lang w:val="id-ID"/>
        </w:rPr>
        <w:t>1</w:t>
      </w:r>
      <w:r w:rsidRPr="00A50E7E">
        <w:rPr>
          <w:color w:val="000000"/>
          <w:lang w:val="id-ID"/>
        </w:rPr>
        <w:t xml:space="preserve">) memiliki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-0,1187 &lt;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1,9739 dan nilai probabilitas 0,9056 &gt; nilai α 0,05, sehingga dapat disimpulkan bahwa hipotesis penelitian ini menerima H</w:t>
      </w:r>
      <w:r w:rsidRPr="00A50E7E">
        <w:rPr>
          <w:color w:val="000000"/>
          <w:vertAlign w:val="subscript"/>
          <w:lang w:val="id-ID"/>
        </w:rPr>
        <w:t>0</w:t>
      </w:r>
      <w:r w:rsidRPr="00A50E7E">
        <w:rPr>
          <w:color w:val="000000"/>
          <w:lang w:val="id-ID"/>
        </w:rPr>
        <w:t xml:space="preserve"> dan menolak H</w:t>
      </w:r>
      <w:r w:rsidRPr="00A50E7E">
        <w:rPr>
          <w:color w:val="000000"/>
          <w:vertAlign w:val="subscript"/>
          <w:lang w:val="id-ID"/>
        </w:rPr>
        <w:t>1</w:t>
      </w:r>
      <w:r w:rsidRPr="00A50E7E">
        <w:rPr>
          <w:color w:val="000000"/>
          <w:lang w:val="id-ID"/>
        </w:rPr>
        <w:t xml:space="preserve">, karena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&lt;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dan nilai probabilitas &gt; nilai α 0,05. Artinya </w:t>
      </w:r>
      <w:r w:rsidRPr="00A50E7E">
        <w:rPr>
          <w:color w:val="000000"/>
          <w:lang w:val="id-ID"/>
        </w:rPr>
        <w:t>bahwa Struktur Modal (X</w:t>
      </w:r>
      <w:r w:rsidRPr="00A50E7E">
        <w:rPr>
          <w:color w:val="000000"/>
          <w:vertAlign w:val="subscript"/>
          <w:lang w:val="id-ID"/>
        </w:rPr>
        <w:t>1</w:t>
      </w:r>
      <w:r w:rsidRPr="00A50E7E">
        <w:rPr>
          <w:color w:val="000000"/>
          <w:lang w:val="id-ID"/>
        </w:rPr>
        <w:t xml:space="preserve">) tidak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w:t>
      </w:r>
    </w:p>
    <w:p w14:paraId="3808317E" w14:textId="36BE4843" w:rsidR="00E634F5" w:rsidRPr="00A50E7E" w:rsidRDefault="00E634F5" w:rsidP="00DD60E7">
      <w:pPr>
        <w:numPr>
          <w:ilvl w:val="0"/>
          <w:numId w:val="12"/>
        </w:numPr>
        <w:spacing w:before="120" w:after="120"/>
        <w:ind w:left="284"/>
        <w:rPr>
          <w:color w:val="000000"/>
          <w:lang w:val="id-ID"/>
        </w:rPr>
      </w:pPr>
      <w:r w:rsidRPr="00A50E7E">
        <w:rPr>
          <w:color w:val="000000"/>
          <w:lang w:val="id-ID"/>
        </w:rPr>
        <w:t>Pengujian Hipotesis 2</w:t>
      </w:r>
      <w:r w:rsidR="00716970" w:rsidRPr="00A50E7E">
        <w:rPr>
          <w:color w:val="000000"/>
        </w:rPr>
        <w:t>.</w:t>
      </w:r>
      <w:r w:rsidRPr="00A50E7E">
        <w:rPr>
          <w:color w:val="000000"/>
          <w:lang w:val="id-ID"/>
        </w:rPr>
        <w:t xml:space="preserve"> Hipotesis kedua yang diajukan pada penelitian ini menyatakan bahwa H</w:t>
      </w:r>
      <w:r w:rsidRPr="00A50E7E">
        <w:rPr>
          <w:color w:val="000000"/>
          <w:vertAlign w:val="subscript"/>
          <w:lang w:val="id-ID"/>
        </w:rPr>
        <w:t>2</w:t>
      </w:r>
      <w:r w:rsidRPr="00A50E7E">
        <w:rPr>
          <w:color w:val="000000"/>
          <w:lang w:val="id-ID"/>
        </w:rPr>
        <w:t>: Profitabilitas (X</w:t>
      </w:r>
      <w:r w:rsidRPr="00A50E7E">
        <w:rPr>
          <w:color w:val="000000"/>
          <w:vertAlign w:val="subscript"/>
          <w:lang w:val="id-ID"/>
        </w:rPr>
        <w:t>2</w:t>
      </w:r>
      <w:r w:rsidRPr="00A50E7E">
        <w:rPr>
          <w:color w:val="000000"/>
          <w:lang w:val="id-ID"/>
        </w:rPr>
        <w:t xml:space="preserve">)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Berdasarkan hasil uji parsial (uji t), Profitabilitas (X</w:t>
      </w:r>
      <w:r w:rsidRPr="00A50E7E">
        <w:rPr>
          <w:color w:val="000000"/>
          <w:vertAlign w:val="subscript"/>
          <w:lang w:val="id-ID"/>
        </w:rPr>
        <w:t>2</w:t>
      </w:r>
      <w:r w:rsidRPr="00A50E7E">
        <w:rPr>
          <w:color w:val="000000"/>
          <w:lang w:val="id-ID"/>
        </w:rPr>
        <w:t xml:space="preserve">) memiliki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2,0939 &gt;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1,9739 dan nilai probabilitas 0,0377 &lt; nilai α 0,05, sehingga dapat disimpulkan bahwa hipotesis penelitian ini menolak H</w:t>
      </w:r>
      <w:r w:rsidRPr="00A50E7E">
        <w:rPr>
          <w:color w:val="000000"/>
          <w:vertAlign w:val="subscript"/>
          <w:lang w:val="id-ID"/>
        </w:rPr>
        <w:t>0</w:t>
      </w:r>
      <w:r w:rsidRPr="00A50E7E">
        <w:rPr>
          <w:color w:val="000000"/>
          <w:lang w:val="id-ID"/>
        </w:rPr>
        <w:t xml:space="preserve"> dan menerima H</w:t>
      </w:r>
      <w:r w:rsidRPr="00A50E7E">
        <w:rPr>
          <w:color w:val="000000"/>
          <w:vertAlign w:val="subscript"/>
          <w:lang w:val="id-ID"/>
        </w:rPr>
        <w:t>1</w:t>
      </w:r>
      <w:r w:rsidRPr="00A50E7E">
        <w:rPr>
          <w:color w:val="000000"/>
          <w:lang w:val="id-ID"/>
        </w:rPr>
        <w:t xml:space="preserve">, karena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&gt;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dan nilai probabilitas &lt; nilai α </w:t>
      </w:r>
      <w:r w:rsidRPr="00A50E7E">
        <w:rPr>
          <w:color w:val="000000"/>
          <w:lang w:val="id-ID"/>
        </w:rPr>
        <w:lastRenderedPageBreak/>
        <w:t>0,05. Artinya bahwa Profitabilitas (X</w:t>
      </w:r>
      <w:r w:rsidRPr="00A50E7E">
        <w:rPr>
          <w:color w:val="000000"/>
          <w:vertAlign w:val="subscript"/>
          <w:lang w:val="id-ID"/>
        </w:rPr>
        <w:t>2</w:t>
      </w:r>
      <w:r w:rsidRPr="00A50E7E">
        <w:rPr>
          <w:color w:val="000000"/>
          <w:lang w:val="id-ID"/>
        </w:rPr>
        <w:t xml:space="preserve">)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w:t>
      </w:r>
    </w:p>
    <w:p w14:paraId="2D5F81B8" w14:textId="038F37A2" w:rsidR="00E634F5" w:rsidRPr="00A50E7E" w:rsidRDefault="00E634F5" w:rsidP="00DD60E7">
      <w:pPr>
        <w:numPr>
          <w:ilvl w:val="0"/>
          <w:numId w:val="12"/>
        </w:numPr>
        <w:spacing w:before="120" w:after="120"/>
        <w:ind w:left="284"/>
        <w:rPr>
          <w:color w:val="000000"/>
          <w:lang w:val="id-ID"/>
        </w:rPr>
      </w:pPr>
      <w:r w:rsidRPr="00A50E7E">
        <w:rPr>
          <w:color w:val="000000"/>
          <w:lang w:val="id-ID"/>
        </w:rPr>
        <w:t>Pengujian Hipotesis 3</w:t>
      </w:r>
      <w:r w:rsidR="00716970" w:rsidRPr="00A50E7E">
        <w:rPr>
          <w:color w:val="000000"/>
        </w:rPr>
        <w:t>.</w:t>
      </w:r>
      <w:r w:rsidRPr="00A50E7E">
        <w:rPr>
          <w:color w:val="000000"/>
          <w:lang w:val="id-ID"/>
        </w:rPr>
        <w:t xml:space="preserve"> Hipotesis ketiga yang diajukan pada penelitian ini menyatakan bahwa H</w:t>
      </w:r>
      <w:r w:rsidRPr="00A50E7E">
        <w:rPr>
          <w:color w:val="000000"/>
          <w:vertAlign w:val="subscript"/>
          <w:lang w:val="id-ID"/>
        </w:rPr>
        <w:t>3</w:t>
      </w:r>
      <w:r w:rsidRPr="00A50E7E">
        <w:rPr>
          <w:color w:val="000000"/>
          <w:lang w:val="id-ID"/>
        </w:rPr>
        <w:t>: Ukuran Perusahaan (X</w:t>
      </w:r>
      <w:r w:rsidRPr="00A50E7E">
        <w:rPr>
          <w:color w:val="000000"/>
          <w:vertAlign w:val="subscript"/>
          <w:lang w:val="id-ID"/>
        </w:rPr>
        <w:t>3</w:t>
      </w:r>
      <w:r w:rsidRPr="00A50E7E">
        <w:rPr>
          <w:color w:val="000000"/>
          <w:lang w:val="id-ID"/>
        </w:rPr>
        <w:t xml:space="preserve">)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Berdasarkan hasil uji parsial (uji t), Ukuran Perusahaan (X</w:t>
      </w:r>
      <w:r w:rsidRPr="00A50E7E">
        <w:rPr>
          <w:color w:val="000000"/>
          <w:vertAlign w:val="subscript"/>
          <w:lang w:val="id-ID"/>
        </w:rPr>
        <w:t>3</w:t>
      </w:r>
      <w:r w:rsidRPr="00A50E7E">
        <w:rPr>
          <w:color w:val="000000"/>
          <w:lang w:val="id-ID"/>
        </w:rPr>
        <w:t xml:space="preserve">) memiliki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2,5575</w:t>
      </w:r>
      <w:r w:rsidR="002A2F1B" w:rsidRPr="00A50E7E">
        <w:rPr>
          <w:color w:val="000000"/>
          <w:lang w:val="id-ID"/>
        </w:rPr>
        <w:t xml:space="preserve"> </w:t>
      </w:r>
      <w:r w:rsidRPr="00A50E7E">
        <w:rPr>
          <w:color w:val="000000"/>
          <w:lang w:val="id-ID"/>
        </w:rPr>
        <w:t xml:space="preserve">&gt;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1,9739 dan nilai probabilitas 0,0114 &lt; nilai α 0,05, sehingga dapat disimpulkan bahwa hipotesis penelitian ini menolak H</w:t>
      </w:r>
      <w:r w:rsidRPr="00A50E7E">
        <w:rPr>
          <w:color w:val="000000"/>
          <w:vertAlign w:val="subscript"/>
          <w:lang w:val="id-ID"/>
        </w:rPr>
        <w:t>0</w:t>
      </w:r>
      <w:r w:rsidRPr="00A50E7E">
        <w:rPr>
          <w:color w:val="000000"/>
          <w:lang w:val="id-ID"/>
        </w:rPr>
        <w:t xml:space="preserve"> dan menerima H</w:t>
      </w:r>
      <w:r w:rsidRPr="00A50E7E">
        <w:rPr>
          <w:color w:val="000000"/>
          <w:vertAlign w:val="subscript"/>
          <w:lang w:val="id-ID"/>
        </w:rPr>
        <w:t>1</w:t>
      </w:r>
      <w:r w:rsidRPr="00A50E7E">
        <w:rPr>
          <w:color w:val="000000"/>
          <w:lang w:val="id-ID"/>
        </w:rPr>
        <w:t xml:space="preserve">, karena nilai </w:t>
      </w:r>
      <w:proofErr w:type="spellStart"/>
      <w:r w:rsidRPr="00A50E7E">
        <w:rPr>
          <w:color w:val="000000"/>
          <w:lang w:val="id-ID"/>
        </w:rPr>
        <w:t>t</w:t>
      </w:r>
      <w:r w:rsidRPr="00A50E7E">
        <w:rPr>
          <w:color w:val="000000"/>
          <w:vertAlign w:val="subscript"/>
          <w:lang w:val="id-ID"/>
        </w:rPr>
        <w:t>hitung</w:t>
      </w:r>
      <w:proofErr w:type="spellEnd"/>
      <w:r w:rsidRPr="00A50E7E">
        <w:rPr>
          <w:color w:val="000000"/>
          <w:lang w:val="id-ID"/>
        </w:rPr>
        <w:t xml:space="preserve"> &gt; nilai </w:t>
      </w:r>
      <w:proofErr w:type="spellStart"/>
      <w:r w:rsidRPr="00A50E7E">
        <w:rPr>
          <w:color w:val="000000"/>
          <w:lang w:val="id-ID"/>
        </w:rPr>
        <w:t>t</w:t>
      </w:r>
      <w:r w:rsidRPr="00A50E7E">
        <w:rPr>
          <w:color w:val="000000"/>
          <w:vertAlign w:val="subscript"/>
          <w:lang w:val="id-ID"/>
        </w:rPr>
        <w:t>tabel</w:t>
      </w:r>
      <w:proofErr w:type="spellEnd"/>
      <w:r w:rsidRPr="00A50E7E">
        <w:rPr>
          <w:color w:val="000000"/>
          <w:lang w:val="id-ID"/>
        </w:rPr>
        <w:t xml:space="preserve"> dan nilai probabilitas &lt; nilai α 0,05. Artinya bahwa Ukuran Perusahaan (X</w:t>
      </w:r>
      <w:r w:rsidRPr="00A50E7E">
        <w:rPr>
          <w:color w:val="000000"/>
          <w:vertAlign w:val="subscript"/>
          <w:lang w:val="id-ID"/>
        </w:rPr>
        <w:t>3</w:t>
      </w:r>
      <w:r w:rsidRPr="00A50E7E">
        <w:rPr>
          <w:color w:val="000000"/>
          <w:lang w:val="id-ID"/>
        </w:rPr>
        <w:t xml:space="preserve">) berpengaruh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w:t>
      </w:r>
    </w:p>
    <w:p w14:paraId="44004C9B" w14:textId="77777777" w:rsidR="00E634F5" w:rsidRPr="00A50E7E" w:rsidRDefault="00E634F5" w:rsidP="00DD60E7">
      <w:pPr>
        <w:numPr>
          <w:ilvl w:val="0"/>
          <w:numId w:val="14"/>
        </w:numPr>
        <w:spacing w:before="120" w:after="120"/>
        <w:ind w:left="567" w:hanging="567"/>
        <w:rPr>
          <w:bCs/>
          <w:i/>
          <w:color w:val="000000"/>
          <w:lang w:val="id-ID"/>
        </w:rPr>
      </w:pPr>
      <w:r w:rsidRPr="00A50E7E">
        <w:rPr>
          <w:bCs/>
          <w:color w:val="000000"/>
          <w:lang w:val="id-ID"/>
        </w:rPr>
        <w:t xml:space="preserve">Hasil Uji Koefisien Determinasi </w:t>
      </w:r>
      <w:r w:rsidRPr="00A50E7E">
        <w:rPr>
          <w:bCs/>
          <w:i/>
          <w:color w:val="000000"/>
          <w:lang w:val="id-ID"/>
        </w:rPr>
        <w:t>(R-</w:t>
      </w:r>
      <w:proofErr w:type="spellStart"/>
      <w:r w:rsidRPr="00A50E7E">
        <w:rPr>
          <w:bCs/>
          <w:i/>
          <w:color w:val="000000"/>
          <w:lang w:val="id-ID"/>
        </w:rPr>
        <w:t>squared</w:t>
      </w:r>
      <w:proofErr w:type="spellEnd"/>
      <w:r w:rsidRPr="00A50E7E">
        <w:rPr>
          <w:bCs/>
          <w:i/>
          <w:color w:val="000000"/>
          <w:lang w:val="id-ID"/>
        </w:rPr>
        <w:t>)</w:t>
      </w:r>
    </w:p>
    <w:p w14:paraId="5A87AB33" w14:textId="77777777" w:rsidR="00E634F5" w:rsidRPr="00A50E7E" w:rsidRDefault="00E634F5" w:rsidP="00DD60E7">
      <w:pPr>
        <w:spacing w:before="120" w:after="120"/>
        <w:rPr>
          <w:color w:val="000000"/>
          <w:lang w:val="id-ID"/>
        </w:rPr>
      </w:pPr>
      <w:r w:rsidRPr="00A50E7E">
        <w:rPr>
          <w:color w:val="000000"/>
          <w:lang w:val="id-ID"/>
        </w:rPr>
        <w:t xml:space="preserve">Uji koefisien determinasi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 xml:space="preserve">pada intinya mengukur seberapa jauh kemampuan model menerangkan variasi variabel independen. Adapun hipotesis uji koefisien determinasi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proofErr w:type="spellStart"/>
      <w:r w:rsidRPr="00A50E7E">
        <w:rPr>
          <w:color w:val="000000"/>
          <w:lang w:val="id-ID"/>
        </w:rPr>
        <w:t>dimana</w:t>
      </w:r>
      <w:proofErr w:type="spellEnd"/>
      <w:r w:rsidRPr="00A50E7E">
        <w:rPr>
          <w:color w:val="000000"/>
          <w:lang w:val="id-ID"/>
        </w:rPr>
        <w:t xml:space="preserve"> H</w:t>
      </w:r>
      <w:r w:rsidRPr="00A50E7E">
        <w:rPr>
          <w:color w:val="000000"/>
          <w:vertAlign w:val="subscript"/>
          <w:lang w:val="id-ID"/>
        </w:rPr>
        <w:t>0</w:t>
      </w:r>
      <w:r w:rsidRPr="00A50E7E">
        <w:rPr>
          <w:color w:val="000000"/>
          <w:lang w:val="id-ID"/>
        </w:rPr>
        <w:t xml:space="preserve"> (model kurang layak dan variabel independen kurang mampu menjelaskan variabel dependen) dan H</w:t>
      </w:r>
      <w:r w:rsidRPr="00A50E7E">
        <w:rPr>
          <w:color w:val="000000"/>
          <w:vertAlign w:val="subscript"/>
          <w:lang w:val="id-ID"/>
        </w:rPr>
        <w:t>1</w:t>
      </w:r>
      <w:r w:rsidRPr="00A50E7E">
        <w:rPr>
          <w:color w:val="000000"/>
          <w:lang w:val="id-ID"/>
        </w:rPr>
        <w:t xml:space="preserve"> (model layak dan variabel independen sangat berpengaruh terhadap variabel dependen). Selanjutnya dasar pengambilan keputusan uji koefisien determinasi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ialah sebagai berikut:</w:t>
      </w:r>
    </w:p>
    <w:p w14:paraId="21BFBC04" w14:textId="77777777" w:rsidR="00E634F5" w:rsidRPr="00A50E7E" w:rsidRDefault="00E634F5" w:rsidP="00DD60E7">
      <w:pPr>
        <w:numPr>
          <w:ilvl w:val="0"/>
          <w:numId w:val="16"/>
        </w:numPr>
        <w:spacing w:before="120" w:after="120"/>
        <w:ind w:left="284"/>
        <w:rPr>
          <w:color w:val="000000"/>
          <w:lang w:val="id-ID"/>
        </w:rPr>
      </w:pPr>
      <w:r w:rsidRPr="00A50E7E">
        <w:rPr>
          <w:color w:val="000000"/>
          <w:lang w:val="id-ID"/>
        </w:rPr>
        <w:t xml:space="preserve">Jika nilai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tinggi (mendekati 1), maka H</w:t>
      </w:r>
      <w:r w:rsidRPr="00A50E7E">
        <w:rPr>
          <w:color w:val="000000"/>
          <w:vertAlign w:val="subscript"/>
          <w:lang w:val="id-ID"/>
        </w:rPr>
        <w:t>0</w:t>
      </w:r>
      <w:r w:rsidRPr="00A50E7E">
        <w:rPr>
          <w:color w:val="000000"/>
          <w:lang w:val="id-ID"/>
        </w:rPr>
        <w:t xml:space="preserve"> ditolak (model layak dan variabel independen sangat berpengaruh terhadap variabel dependen).</w:t>
      </w:r>
    </w:p>
    <w:p w14:paraId="539C9BED" w14:textId="77777777" w:rsidR="00E634F5" w:rsidRPr="00A50E7E" w:rsidRDefault="00E634F5" w:rsidP="00DD60E7">
      <w:pPr>
        <w:numPr>
          <w:ilvl w:val="0"/>
          <w:numId w:val="16"/>
        </w:numPr>
        <w:spacing w:before="120" w:after="120"/>
        <w:ind w:left="284"/>
        <w:rPr>
          <w:color w:val="000000"/>
          <w:lang w:val="id-ID"/>
        </w:rPr>
      </w:pPr>
      <w:r w:rsidRPr="00A50E7E">
        <w:rPr>
          <w:color w:val="000000"/>
          <w:lang w:val="id-ID"/>
        </w:rPr>
        <w:t xml:space="preserve">Jika nilai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rendah (mendekati 0), maka H0 diterima (model kurang layak dan variabel independen kurang mampu menjelaskan variabel dependen).</w:t>
      </w:r>
    </w:p>
    <w:p w14:paraId="3A16AEF6" w14:textId="77777777" w:rsidR="00E634F5" w:rsidRPr="00A50E7E" w:rsidRDefault="00E634F5" w:rsidP="00DD60E7">
      <w:pPr>
        <w:spacing w:before="120" w:after="120"/>
        <w:jc w:val="center"/>
        <w:rPr>
          <w:color w:val="000000"/>
          <w:sz w:val="16"/>
          <w:szCs w:val="18"/>
          <w:lang w:val="id-ID"/>
        </w:rPr>
      </w:pPr>
      <w:r w:rsidRPr="00A50E7E">
        <w:rPr>
          <w:color w:val="000000"/>
          <w:sz w:val="16"/>
          <w:szCs w:val="18"/>
          <w:lang w:val="id-ID"/>
        </w:rPr>
        <w:t>Tabel 6. Hasil Uji Koefisien Determinasi (</w:t>
      </w:r>
      <w:r w:rsidRPr="00A50E7E">
        <w:rPr>
          <w:i/>
          <w:iCs/>
          <w:color w:val="000000"/>
          <w:sz w:val="16"/>
          <w:szCs w:val="18"/>
          <w:lang w:val="id-ID"/>
        </w:rPr>
        <w:t>R-</w:t>
      </w:r>
      <w:proofErr w:type="spellStart"/>
      <w:r w:rsidRPr="00A50E7E">
        <w:rPr>
          <w:i/>
          <w:iCs/>
          <w:color w:val="000000"/>
          <w:sz w:val="16"/>
          <w:szCs w:val="18"/>
          <w:lang w:val="id-ID"/>
        </w:rPr>
        <w:t>Squared</w:t>
      </w:r>
      <w:proofErr w:type="spellEnd"/>
      <w:r w:rsidRPr="00A50E7E">
        <w:rPr>
          <w:color w:val="000000"/>
          <w:sz w:val="16"/>
          <w:szCs w:val="18"/>
          <w:lang w:val="id-ID"/>
        </w:rPr>
        <w:t>)</w:t>
      </w:r>
    </w:p>
    <w:tbl>
      <w:tblPr>
        <w:tblW w:w="3967" w:type="dxa"/>
        <w:jc w:val="center"/>
        <w:tblBorders>
          <w:top w:val="single" w:sz="4" w:space="0" w:color="auto"/>
          <w:bottom w:val="single" w:sz="2" w:space="0" w:color="auto"/>
          <w:insideH w:val="single" w:sz="4" w:space="0" w:color="auto"/>
        </w:tblBorders>
        <w:tblLayout w:type="fixed"/>
        <w:tblCellMar>
          <w:left w:w="58" w:type="dxa"/>
          <w:right w:w="58" w:type="dxa"/>
        </w:tblCellMar>
        <w:tblLook w:val="01E0" w:firstRow="1" w:lastRow="1" w:firstColumn="1" w:lastColumn="1" w:noHBand="0" w:noVBand="0"/>
      </w:tblPr>
      <w:tblGrid>
        <w:gridCol w:w="3117"/>
        <w:gridCol w:w="850"/>
      </w:tblGrid>
      <w:tr w:rsidR="002A2F1B" w:rsidRPr="00A50E7E" w14:paraId="529691C3" w14:textId="77777777" w:rsidTr="00046BFC">
        <w:trPr>
          <w:trHeight w:val="20"/>
          <w:jc w:val="center"/>
        </w:trPr>
        <w:tc>
          <w:tcPr>
            <w:tcW w:w="3117" w:type="dxa"/>
            <w:tcBorders>
              <w:top w:val="single" w:sz="12" w:space="0" w:color="auto"/>
              <w:bottom w:val="single" w:sz="2" w:space="0" w:color="auto"/>
            </w:tcBorders>
            <w:shd w:val="clear" w:color="auto" w:fill="auto"/>
            <w:vAlign w:val="center"/>
          </w:tcPr>
          <w:p w14:paraId="1342E15F" w14:textId="77777777" w:rsidR="002A2F1B" w:rsidRPr="00A50E7E" w:rsidRDefault="002A2F1B" w:rsidP="00DD60E7">
            <w:pPr>
              <w:spacing w:after="0"/>
              <w:rPr>
                <w:bCs/>
                <w:color w:val="000000"/>
                <w:sz w:val="16"/>
                <w:szCs w:val="18"/>
                <w:lang w:val="id-ID"/>
              </w:rPr>
            </w:pPr>
            <w:r w:rsidRPr="00A50E7E">
              <w:rPr>
                <w:bCs/>
                <w:color w:val="000000"/>
                <w:sz w:val="16"/>
                <w:szCs w:val="18"/>
                <w:lang w:val="id-ID"/>
              </w:rPr>
              <w:t>Variabel Penelitian</w:t>
            </w:r>
          </w:p>
        </w:tc>
        <w:tc>
          <w:tcPr>
            <w:tcW w:w="850" w:type="dxa"/>
            <w:tcBorders>
              <w:top w:val="single" w:sz="12" w:space="0" w:color="auto"/>
              <w:bottom w:val="single" w:sz="2" w:space="0" w:color="auto"/>
            </w:tcBorders>
            <w:shd w:val="clear" w:color="auto" w:fill="auto"/>
            <w:vAlign w:val="center"/>
          </w:tcPr>
          <w:p w14:paraId="07CCB05D" w14:textId="77777777" w:rsidR="002A2F1B" w:rsidRPr="00A50E7E" w:rsidRDefault="002A2F1B" w:rsidP="00716970">
            <w:pPr>
              <w:spacing w:after="0"/>
              <w:jc w:val="right"/>
              <w:rPr>
                <w:bCs/>
                <w:i/>
                <w:color w:val="000000"/>
                <w:sz w:val="16"/>
                <w:szCs w:val="18"/>
                <w:lang w:val="id-ID"/>
              </w:rPr>
            </w:pPr>
            <w:r w:rsidRPr="00A50E7E">
              <w:rPr>
                <w:bCs/>
                <w:i/>
                <w:color w:val="000000"/>
                <w:sz w:val="16"/>
                <w:szCs w:val="18"/>
                <w:lang w:val="id-ID"/>
              </w:rPr>
              <w:t>R-</w:t>
            </w:r>
            <w:proofErr w:type="spellStart"/>
            <w:r w:rsidRPr="00A50E7E">
              <w:rPr>
                <w:bCs/>
                <w:i/>
                <w:color w:val="000000"/>
                <w:sz w:val="16"/>
                <w:szCs w:val="18"/>
                <w:lang w:val="id-ID"/>
              </w:rPr>
              <w:t>Squared</w:t>
            </w:r>
            <w:proofErr w:type="spellEnd"/>
          </w:p>
        </w:tc>
      </w:tr>
      <w:tr w:rsidR="002A2F1B" w:rsidRPr="00A50E7E" w14:paraId="6FD489E3" w14:textId="77777777" w:rsidTr="00716970">
        <w:trPr>
          <w:trHeight w:val="20"/>
          <w:jc w:val="center"/>
        </w:trPr>
        <w:tc>
          <w:tcPr>
            <w:tcW w:w="3117" w:type="dxa"/>
            <w:tcBorders>
              <w:top w:val="single" w:sz="2" w:space="0" w:color="auto"/>
            </w:tcBorders>
            <w:shd w:val="clear" w:color="auto" w:fill="auto"/>
            <w:vAlign w:val="center"/>
          </w:tcPr>
          <w:p w14:paraId="7562C598" w14:textId="77777777" w:rsidR="002A2F1B" w:rsidRPr="00A50E7E" w:rsidRDefault="002A2F1B" w:rsidP="00DD60E7">
            <w:pPr>
              <w:spacing w:after="0"/>
              <w:rPr>
                <w:bCs/>
                <w:color w:val="000000"/>
                <w:sz w:val="16"/>
                <w:szCs w:val="18"/>
                <w:lang w:val="id-ID"/>
              </w:rPr>
            </w:pPr>
            <w:r w:rsidRPr="00A50E7E">
              <w:rPr>
                <w:bCs/>
                <w:color w:val="000000"/>
                <w:sz w:val="16"/>
                <w:szCs w:val="18"/>
                <w:lang w:val="id-ID"/>
              </w:rPr>
              <w:t>Struktur</w:t>
            </w:r>
            <w:r w:rsidRPr="00A50E7E">
              <w:rPr>
                <w:bCs/>
                <w:color w:val="000000"/>
                <w:sz w:val="16"/>
                <w:szCs w:val="18"/>
                <w:lang w:val="id-ID"/>
              </w:rPr>
              <w:tab/>
              <w:t>Modal</w:t>
            </w:r>
            <w:r w:rsidRPr="00A50E7E">
              <w:rPr>
                <w:bCs/>
                <w:color w:val="000000"/>
                <w:sz w:val="16"/>
                <w:szCs w:val="18"/>
                <w:lang w:val="id-ID"/>
              </w:rPr>
              <w:tab/>
              <w:t>(X</w:t>
            </w:r>
            <w:r w:rsidRPr="00A50E7E">
              <w:rPr>
                <w:bCs/>
                <w:color w:val="000000"/>
                <w:sz w:val="16"/>
                <w:szCs w:val="18"/>
                <w:vertAlign w:val="subscript"/>
                <w:lang w:val="id-ID"/>
              </w:rPr>
              <w:t>1</w:t>
            </w:r>
            <w:r w:rsidRPr="00A50E7E">
              <w:rPr>
                <w:bCs/>
                <w:color w:val="000000"/>
                <w:sz w:val="16"/>
                <w:szCs w:val="18"/>
                <w:lang w:val="id-ID"/>
              </w:rPr>
              <w:t>), Profitabilitas (X</w:t>
            </w:r>
            <w:r w:rsidRPr="00A50E7E">
              <w:rPr>
                <w:bCs/>
                <w:color w:val="000000"/>
                <w:sz w:val="16"/>
                <w:szCs w:val="18"/>
                <w:vertAlign w:val="subscript"/>
                <w:lang w:val="id-ID"/>
              </w:rPr>
              <w:t>2</w:t>
            </w:r>
            <w:r w:rsidRPr="00A50E7E">
              <w:rPr>
                <w:bCs/>
                <w:color w:val="000000"/>
                <w:sz w:val="16"/>
                <w:szCs w:val="18"/>
                <w:lang w:val="id-ID"/>
              </w:rPr>
              <w:t>), Ukuran Perusahaan (X</w:t>
            </w:r>
            <w:r w:rsidRPr="00A50E7E">
              <w:rPr>
                <w:bCs/>
                <w:color w:val="000000"/>
                <w:sz w:val="16"/>
                <w:szCs w:val="18"/>
                <w:vertAlign w:val="subscript"/>
                <w:lang w:val="id-ID"/>
              </w:rPr>
              <w:t>3</w:t>
            </w:r>
            <w:r w:rsidRPr="00A50E7E">
              <w:rPr>
                <w:bCs/>
                <w:color w:val="000000"/>
                <w:sz w:val="16"/>
                <w:szCs w:val="18"/>
                <w:lang w:val="id-ID"/>
              </w:rPr>
              <w:t xml:space="preserve">) → </w:t>
            </w:r>
            <w:proofErr w:type="spellStart"/>
            <w:r w:rsidRPr="00A50E7E">
              <w:rPr>
                <w:bCs/>
                <w:i/>
                <w:color w:val="000000"/>
                <w:sz w:val="16"/>
                <w:szCs w:val="18"/>
                <w:lang w:val="id-ID"/>
              </w:rPr>
              <w:t>Tax</w:t>
            </w:r>
            <w:proofErr w:type="spellEnd"/>
            <w:r w:rsidRPr="00A50E7E">
              <w:rPr>
                <w:bCs/>
                <w:i/>
                <w:color w:val="000000"/>
                <w:sz w:val="16"/>
                <w:szCs w:val="18"/>
                <w:lang w:val="id-ID"/>
              </w:rPr>
              <w:t xml:space="preserve"> </w:t>
            </w:r>
            <w:proofErr w:type="spellStart"/>
            <w:r w:rsidRPr="00A50E7E">
              <w:rPr>
                <w:bCs/>
                <w:i/>
                <w:color w:val="000000"/>
                <w:sz w:val="16"/>
                <w:szCs w:val="18"/>
                <w:lang w:val="id-ID"/>
              </w:rPr>
              <w:t>Avoidance</w:t>
            </w:r>
            <w:proofErr w:type="spellEnd"/>
            <w:r w:rsidRPr="00A50E7E">
              <w:rPr>
                <w:bCs/>
                <w:i/>
                <w:color w:val="000000"/>
                <w:sz w:val="16"/>
                <w:szCs w:val="18"/>
                <w:lang w:val="id-ID"/>
              </w:rPr>
              <w:t xml:space="preserve"> </w:t>
            </w:r>
            <w:r w:rsidRPr="00A50E7E">
              <w:rPr>
                <w:bCs/>
                <w:color w:val="000000"/>
                <w:sz w:val="16"/>
                <w:szCs w:val="18"/>
                <w:lang w:val="id-ID"/>
              </w:rPr>
              <w:t>(Y)</w:t>
            </w:r>
          </w:p>
        </w:tc>
        <w:tc>
          <w:tcPr>
            <w:tcW w:w="850" w:type="dxa"/>
            <w:tcBorders>
              <w:top w:val="single" w:sz="2" w:space="0" w:color="auto"/>
            </w:tcBorders>
            <w:shd w:val="clear" w:color="auto" w:fill="auto"/>
            <w:vAlign w:val="center"/>
          </w:tcPr>
          <w:p w14:paraId="586D2FED" w14:textId="77777777" w:rsidR="002A2F1B" w:rsidRPr="00A50E7E" w:rsidRDefault="002A2F1B" w:rsidP="00716970">
            <w:pPr>
              <w:spacing w:after="0"/>
              <w:jc w:val="right"/>
              <w:rPr>
                <w:bCs/>
                <w:color w:val="000000"/>
                <w:sz w:val="16"/>
                <w:szCs w:val="18"/>
                <w:lang w:val="id-ID"/>
              </w:rPr>
            </w:pPr>
            <w:r w:rsidRPr="00A50E7E">
              <w:rPr>
                <w:bCs/>
                <w:color w:val="000000"/>
                <w:sz w:val="16"/>
                <w:szCs w:val="18"/>
                <w:lang w:val="id-ID"/>
              </w:rPr>
              <w:t>0,5648</w:t>
            </w:r>
          </w:p>
        </w:tc>
      </w:tr>
    </w:tbl>
    <w:p w14:paraId="5FAA26FA" w14:textId="7A7B30F3" w:rsidR="00E634F5" w:rsidRPr="00A50E7E" w:rsidRDefault="00E634F5" w:rsidP="005527F9">
      <w:pPr>
        <w:spacing w:before="120" w:after="120"/>
        <w:rPr>
          <w:color w:val="000000"/>
          <w:lang w:val="id-ID"/>
        </w:rPr>
      </w:pPr>
      <w:r w:rsidRPr="00A50E7E">
        <w:rPr>
          <w:color w:val="000000"/>
          <w:lang w:val="id-ID"/>
        </w:rPr>
        <w:t xml:space="preserve">Berdasarkan data pada Tabel </w:t>
      </w:r>
      <w:r w:rsidR="00716970" w:rsidRPr="00A50E7E">
        <w:rPr>
          <w:color w:val="000000"/>
        </w:rPr>
        <w:t>6</w:t>
      </w:r>
      <w:r w:rsidRPr="00A50E7E">
        <w:rPr>
          <w:color w:val="000000"/>
          <w:lang w:val="id-ID"/>
        </w:rPr>
        <w:t xml:space="preserve"> terlihat bahwa uji koefisien determinasi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Struktur Modal (X</w:t>
      </w:r>
      <w:r w:rsidRPr="00A50E7E">
        <w:rPr>
          <w:color w:val="000000"/>
          <w:vertAlign w:val="subscript"/>
          <w:lang w:val="id-ID"/>
        </w:rPr>
        <w:t>1</w:t>
      </w:r>
      <w:r w:rsidRPr="00A50E7E">
        <w:rPr>
          <w:color w:val="000000"/>
          <w:lang w:val="id-ID"/>
        </w:rPr>
        <w:t>), Profitabilitas (X</w:t>
      </w:r>
      <w:r w:rsidRPr="00A50E7E">
        <w:rPr>
          <w:color w:val="000000"/>
          <w:vertAlign w:val="subscript"/>
          <w:lang w:val="id-ID"/>
        </w:rPr>
        <w:t>2</w:t>
      </w:r>
      <w:r w:rsidRPr="00A50E7E">
        <w:rPr>
          <w:color w:val="000000"/>
          <w:lang w:val="id-ID"/>
        </w:rPr>
        <w:t>) dan Ukuran Perusahaan (X</w:t>
      </w:r>
      <w:r w:rsidRPr="00A50E7E">
        <w:rPr>
          <w:color w:val="000000"/>
          <w:vertAlign w:val="subscript"/>
          <w:lang w:val="id-ID"/>
        </w:rPr>
        <w:t>3</w:t>
      </w:r>
      <w:r w:rsidRPr="00A50E7E">
        <w:rPr>
          <w:color w:val="000000"/>
          <w:lang w:val="id-ID"/>
        </w:rPr>
        <w:t xml:space="preserve">) dengan nilai </w:t>
      </w:r>
      <w:r w:rsidRPr="00A50E7E">
        <w:rPr>
          <w:i/>
          <w:color w:val="000000"/>
          <w:lang w:val="id-ID"/>
        </w:rPr>
        <w:t>R-</w:t>
      </w:r>
      <w:proofErr w:type="spellStart"/>
      <w:r w:rsidRPr="00A50E7E">
        <w:rPr>
          <w:i/>
          <w:color w:val="000000"/>
          <w:lang w:val="id-ID"/>
        </w:rPr>
        <w:t>squared</w:t>
      </w:r>
      <w:proofErr w:type="spellEnd"/>
      <w:r w:rsidRPr="00A50E7E">
        <w:rPr>
          <w:i/>
          <w:color w:val="000000"/>
          <w:lang w:val="id-ID"/>
        </w:rPr>
        <w:t xml:space="preserve"> </w:t>
      </w:r>
      <w:r w:rsidRPr="00A50E7E">
        <w:rPr>
          <w:color w:val="000000"/>
          <w:lang w:val="id-ID"/>
        </w:rPr>
        <w:t xml:space="preserve">0,5648 atau 56,48%. Hal ini berarti bahwa 56,48% dari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(Y) dipengaruhi dan dapat dijelaskan oleh ketiga variabel independen dalam penelitian ini yaitu Struktur Modal (X</w:t>
      </w:r>
      <w:r w:rsidRPr="00A50E7E">
        <w:rPr>
          <w:color w:val="000000"/>
          <w:vertAlign w:val="subscript"/>
          <w:lang w:val="id-ID"/>
        </w:rPr>
        <w:t>1</w:t>
      </w:r>
      <w:r w:rsidRPr="00A50E7E">
        <w:rPr>
          <w:color w:val="000000"/>
          <w:lang w:val="id-ID"/>
        </w:rPr>
        <w:t>), Profitabilitas (X</w:t>
      </w:r>
      <w:r w:rsidRPr="00A50E7E">
        <w:rPr>
          <w:color w:val="000000"/>
          <w:vertAlign w:val="subscript"/>
          <w:lang w:val="id-ID"/>
        </w:rPr>
        <w:t>2</w:t>
      </w:r>
      <w:r w:rsidRPr="00A50E7E">
        <w:rPr>
          <w:color w:val="000000"/>
          <w:lang w:val="id-ID"/>
        </w:rPr>
        <w:t>) dan Ukuran Perusahaan (X</w:t>
      </w:r>
      <w:r w:rsidRPr="00A50E7E">
        <w:rPr>
          <w:color w:val="000000"/>
          <w:vertAlign w:val="subscript"/>
          <w:lang w:val="id-ID"/>
        </w:rPr>
        <w:t>3</w:t>
      </w:r>
      <w:r w:rsidRPr="00A50E7E">
        <w:rPr>
          <w:color w:val="000000"/>
          <w:lang w:val="id-ID"/>
        </w:rPr>
        <w:t>). Sedangkan 43,52% lainnya dijelaskan oleh variabel-variabel lainnya di</w:t>
      </w:r>
      <w:r w:rsidR="00716970" w:rsidRPr="00A50E7E">
        <w:rPr>
          <w:color w:val="000000"/>
        </w:rPr>
        <w:t xml:space="preserve"> </w:t>
      </w:r>
      <w:r w:rsidRPr="00A50E7E">
        <w:rPr>
          <w:color w:val="000000"/>
          <w:lang w:val="id-ID"/>
        </w:rPr>
        <w:t>luar model regresi. Sehingga dapat disimpulkan bahwa hipotesis penelitian ini menolak H</w:t>
      </w:r>
      <w:r w:rsidRPr="00A50E7E">
        <w:rPr>
          <w:color w:val="000000"/>
          <w:vertAlign w:val="subscript"/>
          <w:lang w:val="id-ID"/>
        </w:rPr>
        <w:t>0</w:t>
      </w:r>
      <w:r w:rsidRPr="00A50E7E">
        <w:rPr>
          <w:color w:val="000000"/>
          <w:lang w:val="id-ID"/>
        </w:rPr>
        <w:t xml:space="preserve"> dan menerima H</w:t>
      </w:r>
      <w:r w:rsidRPr="00A50E7E">
        <w:rPr>
          <w:color w:val="000000"/>
          <w:vertAlign w:val="subscript"/>
          <w:lang w:val="id-ID"/>
        </w:rPr>
        <w:t>1</w:t>
      </w:r>
      <w:r w:rsidRPr="00A50E7E">
        <w:rPr>
          <w:color w:val="000000"/>
          <w:lang w:val="id-ID"/>
        </w:rPr>
        <w:t>, artinya model dalam penelitian ini layak dan variabel independen sangat berpengaruh terhadap variabel dependen.</w:t>
      </w:r>
    </w:p>
    <w:p w14:paraId="1DA623AF" w14:textId="77777777" w:rsidR="00E634F5" w:rsidRPr="00A50E7E" w:rsidRDefault="00E634F5" w:rsidP="005527F9">
      <w:pPr>
        <w:numPr>
          <w:ilvl w:val="0"/>
          <w:numId w:val="13"/>
        </w:numPr>
        <w:spacing w:before="120" w:after="120"/>
        <w:ind w:left="426" w:hanging="426"/>
        <w:rPr>
          <w:color w:val="000000"/>
          <w:lang w:val="id-ID"/>
        </w:rPr>
      </w:pPr>
      <w:r w:rsidRPr="00A50E7E">
        <w:rPr>
          <w:color w:val="000000"/>
          <w:lang w:val="id-ID"/>
        </w:rPr>
        <w:t xml:space="preserve">Pengaruh Struktur Modal (X1) Terhadap </w:t>
      </w:r>
      <w:proofErr w:type="spellStart"/>
      <w:r w:rsidRPr="00A50E7E">
        <w:rPr>
          <w:i/>
          <w:iCs/>
          <w:color w:val="000000"/>
          <w:lang w:val="id-ID"/>
        </w:rPr>
        <w:t>Tax</w:t>
      </w:r>
      <w:proofErr w:type="spellEnd"/>
      <w:r w:rsidRPr="00A50E7E">
        <w:rPr>
          <w:i/>
          <w:iCs/>
          <w:color w:val="000000"/>
          <w:lang w:val="id-ID"/>
        </w:rPr>
        <w:t xml:space="preserve"> </w:t>
      </w:r>
      <w:proofErr w:type="spellStart"/>
      <w:r w:rsidRPr="00A50E7E">
        <w:rPr>
          <w:i/>
          <w:iCs/>
          <w:color w:val="000000"/>
          <w:lang w:val="id-ID"/>
        </w:rPr>
        <w:t>Avoidance</w:t>
      </w:r>
      <w:proofErr w:type="spellEnd"/>
      <w:r w:rsidRPr="00A50E7E">
        <w:rPr>
          <w:color w:val="000000"/>
          <w:lang w:val="id-ID"/>
        </w:rPr>
        <w:t xml:space="preserve"> (Y)</w:t>
      </w:r>
    </w:p>
    <w:p w14:paraId="09B3A268" w14:textId="77777777" w:rsidR="00E634F5" w:rsidRPr="00A50E7E" w:rsidRDefault="00E634F5" w:rsidP="005527F9">
      <w:pPr>
        <w:spacing w:before="120" w:after="120"/>
        <w:rPr>
          <w:color w:val="000000"/>
          <w:lang w:val="id-ID"/>
        </w:rPr>
      </w:pPr>
      <w:r w:rsidRPr="00A50E7E">
        <w:rPr>
          <w:color w:val="000000"/>
          <w:lang w:val="id-ID"/>
        </w:rPr>
        <w:t xml:space="preserve">Hasil penelitian menunjukkan pengaruh negatif dan tidak signifikan antara struktur modal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pada perusahaan sektor </w:t>
      </w:r>
      <w:proofErr w:type="spellStart"/>
      <w:r w:rsidRPr="00A50E7E">
        <w:rPr>
          <w:i/>
          <w:color w:val="000000"/>
          <w:lang w:val="id-ID"/>
        </w:rPr>
        <w:t>property</w:t>
      </w:r>
      <w:proofErr w:type="spellEnd"/>
      <w:r w:rsidRPr="00A50E7E">
        <w:rPr>
          <w:i/>
          <w:color w:val="000000"/>
          <w:lang w:val="id-ID"/>
        </w:rPr>
        <w:t xml:space="preserve"> real &amp; </w:t>
      </w:r>
      <w:proofErr w:type="spellStart"/>
      <w:r w:rsidRPr="00A50E7E">
        <w:rPr>
          <w:i/>
          <w:color w:val="000000"/>
          <w:lang w:val="id-ID"/>
        </w:rPr>
        <w:t>estate</w:t>
      </w:r>
      <w:proofErr w:type="spellEnd"/>
      <w:r w:rsidRPr="00A50E7E">
        <w:rPr>
          <w:i/>
          <w:color w:val="000000"/>
          <w:lang w:val="id-ID"/>
        </w:rPr>
        <w:t xml:space="preserve"> </w:t>
      </w:r>
      <w:r w:rsidRPr="00A50E7E">
        <w:rPr>
          <w:color w:val="000000"/>
          <w:lang w:val="id-ID"/>
        </w:rPr>
        <w:t xml:space="preserve">di Bursa Efek Indonesia (BEI). Struktur modal merupakan perbandingan antara utang dan </w:t>
      </w:r>
      <w:r w:rsidRPr="00A50E7E">
        <w:rPr>
          <w:i/>
          <w:color w:val="000000"/>
          <w:lang w:val="id-ID"/>
        </w:rPr>
        <w:t xml:space="preserve">ekuitas </w:t>
      </w:r>
      <w:r w:rsidRPr="00A50E7E">
        <w:rPr>
          <w:color w:val="000000"/>
          <w:lang w:val="id-ID"/>
        </w:rPr>
        <w:t xml:space="preserve">dalam pembiayaan operasional perusahaan, sedangkan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merujuk pada upaya legal perusahaan untuk meminimalkan beban pajak. Secara teori, perusahaan yang memiliki proporsi utang lebih tinggi seharusnya memiliki insentif lebih besar untuk menghindari pajak melalui mekanisme pengurangan beban bunga, karena bunga utang dapat menjadi pengurang pajak </w:t>
      </w:r>
      <w:r w:rsidRPr="00A50E7E">
        <w:rPr>
          <w:i/>
          <w:color w:val="000000"/>
          <w:lang w:val="id-ID"/>
        </w:rPr>
        <w:t>(</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deductible</w:t>
      </w:r>
      <w:proofErr w:type="spellEnd"/>
      <w:r w:rsidRPr="00A50E7E">
        <w:rPr>
          <w:i/>
          <w:color w:val="000000"/>
          <w:lang w:val="id-ID"/>
        </w:rPr>
        <w:t>)</w:t>
      </w:r>
      <w:r w:rsidRPr="00A50E7E">
        <w:rPr>
          <w:color w:val="000000"/>
          <w:lang w:val="id-ID"/>
        </w:rPr>
        <w:t>.</w:t>
      </w:r>
    </w:p>
    <w:p w14:paraId="0AA80A10" w14:textId="77777777" w:rsidR="00716970" w:rsidRPr="00A50E7E" w:rsidRDefault="00E634F5" w:rsidP="005527F9">
      <w:pPr>
        <w:spacing w:before="120" w:after="120"/>
        <w:rPr>
          <w:color w:val="000000"/>
          <w:lang w:val="id-ID"/>
        </w:rPr>
      </w:pPr>
      <w:r w:rsidRPr="00A50E7E">
        <w:rPr>
          <w:color w:val="000000"/>
          <w:lang w:val="id-ID"/>
        </w:rPr>
        <w:t xml:space="preserve">Hasil penelitian yang mengacu pada pengaruh negatif dan tidak signifikan antara struktur modal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 xml:space="preserve">, dapat disebabkan oleh beberapa faktor, seperti dalam konteks akuntansi keuangan, perusahaan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memiliki karakteristik siklus proyek jangka panjang dan ketergantungan pada utang yang tinggi, namun penggunaan utang belum tentu bertujuan untuk efisiensi pajak. Banyak perusahaan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lebih fokus pada pengelolaan arus kas dan pendanaan pembangunan proyek dibanding strategi pajak agresif. Hal ini menyebabkan struktur modal yang tinggi dalam utang tidak selalu dimanfaatkan sebagai instrumen penghindaran pajak, terutama jika perusahaan lebih mempertimbangkan risiko keuangan dan kelayakan kredit. </w:t>
      </w:r>
    </w:p>
    <w:p w14:paraId="4B6A1B3D" w14:textId="70305E8C" w:rsidR="00E634F5" w:rsidRPr="00A50E7E" w:rsidRDefault="00E634F5" w:rsidP="005527F9">
      <w:pPr>
        <w:spacing w:before="120" w:after="120"/>
        <w:rPr>
          <w:color w:val="000000"/>
          <w:lang w:val="id-ID"/>
        </w:rPr>
      </w:pPr>
      <w:r w:rsidRPr="00A50E7E">
        <w:rPr>
          <w:color w:val="000000"/>
          <w:lang w:val="id-ID"/>
        </w:rPr>
        <w:t xml:space="preserve">Faktor lain juga menjelaskan bahwa dalam perspektif akuntansi perpajakan, perusahaan telah menerapkan strategi penghindaran pajak lain yang tidak tergantung pada struktur modal, seperti manipulasi beban operasional, </w:t>
      </w:r>
      <w:r w:rsidRPr="00A50E7E">
        <w:rPr>
          <w:i/>
          <w:color w:val="000000"/>
          <w:lang w:val="id-ID"/>
        </w:rPr>
        <w:t xml:space="preserve">transfer </w:t>
      </w:r>
      <w:proofErr w:type="spellStart"/>
      <w:r w:rsidRPr="00A50E7E">
        <w:rPr>
          <w:i/>
          <w:color w:val="000000"/>
          <w:lang w:val="id-ID"/>
        </w:rPr>
        <w:t>pricing</w:t>
      </w:r>
      <w:proofErr w:type="spellEnd"/>
      <w:r w:rsidRPr="00A50E7E">
        <w:rPr>
          <w:color w:val="000000"/>
          <w:lang w:val="id-ID"/>
        </w:rPr>
        <w:t xml:space="preserve">, atau pemanfaatan insentif pajak dari pemerintah.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juga memiliki akses terhadap berbagai fasilitas perpajakan seperti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holiday</w:t>
      </w:r>
      <w:proofErr w:type="spellEnd"/>
      <w:r w:rsidRPr="00A50E7E">
        <w:rPr>
          <w:i/>
          <w:color w:val="000000"/>
          <w:lang w:val="id-ID"/>
        </w:rPr>
        <w:t xml:space="preserve"> </w:t>
      </w:r>
      <w:r w:rsidRPr="00A50E7E">
        <w:rPr>
          <w:color w:val="000000"/>
          <w:lang w:val="id-ID"/>
        </w:rPr>
        <w:t xml:space="preserve">untuk proyek tertentu atau pengakuan pendapatan secara bertahap </w:t>
      </w:r>
      <w:r w:rsidRPr="00A50E7E">
        <w:rPr>
          <w:i/>
          <w:color w:val="000000"/>
          <w:lang w:val="id-ID"/>
        </w:rPr>
        <w:t>(</w:t>
      </w:r>
      <w:proofErr w:type="spellStart"/>
      <w:r w:rsidRPr="00A50E7E">
        <w:rPr>
          <w:i/>
          <w:color w:val="000000"/>
          <w:lang w:val="id-ID"/>
        </w:rPr>
        <w:t>percentage</w:t>
      </w:r>
      <w:proofErr w:type="spellEnd"/>
      <w:r w:rsidRPr="00A50E7E">
        <w:rPr>
          <w:i/>
          <w:color w:val="000000"/>
          <w:lang w:val="id-ID"/>
        </w:rPr>
        <w:t xml:space="preserve"> </w:t>
      </w:r>
      <w:proofErr w:type="spellStart"/>
      <w:r w:rsidRPr="00A50E7E">
        <w:rPr>
          <w:i/>
          <w:color w:val="000000"/>
          <w:lang w:val="id-ID"/>
        </w:rPr>
        <w:t>of</w:t>
      </w:r>
      <w:proofErr w:type="spellEnd"/>
      <w:r w:rsidRPr="00A50E7E">
        <w:rPr>
          <w:i/>
          <w:color w:val="000000"/>
          <w:lang w:val="id-ID"/>
        </w:rPr>
        <w:t xml:space="preserve"> </w:t>
      </w:r>
      <w:proofErr w:type="spellStart"/>
      <w:r w:rsidRPr="00A50E7E">
        <w:rPr>
          <w:i/>
          <w:color w:val="000000"/>
          <w:lang w:val="id-ID"/>
        </w:rPr>
        <w:t>completion</w:t>
      </w:r>
      <w:proofErr w:type="spellEnd"/>
      <w:r w:rsidRPr="00A50E7E">
        <w:rPr>
          <w:i/>
          <w:color w:val="000000"/>
          <w:lang w:val="id-ID"/>
        </w:rPr>
        <w:t>)</w:t>
      </w:r>
      <w:r w:rsidRPr="00A50E7E">
        <w:rPr>
          <w:color w:val="000000"/>
          <w:lang w:val="id-ID"/>
        </w:rPr>
        <w:t xml:space="preserve">, yang mengurangi kebutuhan perusahaan untuk mengeksplorasi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melalui pengaturan utang. Faktor selanjutnya, dapat dipengaruhi oleh regulasi perpajakan di Indonesia. </w:t>
      </w:r>
      <w:r w:rsidR="00716970" w:rsidRPr="00A50E7E">
        <w:rPr>
          <w:color w:val="000000"/>
          <w:lang w:val="id-ID"/>
        </w:rPr>
        <w:t>Peraturan</w:t>
      </w:r>
      <w:r w:rsidRPr="00A50E7E">
        <w:rPr>
          <w:color w:val="000000"/>
          <w:lang w:val="id-ID"/>
        </w:rPr>
        <w:t xml:space="preserve"> </w:t>
      </w:r>
      <w:proofErr w:type="spellStart"/>
      <w:r w:rsidRPr="00A50E7E">
        <w:rPr>
          <w:i/>
          <w:color w:val="000000"/>
          <w:lang w:val="id-ID"/>
        </w:rPr>
        <w:t>thin</w:t>
      </w:r>
      <w:proofErr w:type="spellEnd"/>
      <w:r w:rsidRPr="00A50E7E">
        <w:rPr>
          <w:i/>
          <w:color w:val="000000"/>
          <w:lang w:val="id-ID"/>
        </w:rPr>
        <w:t xml:space="preserve"> </w:t>
      </w:r>
      <w:proofErr w:type="spellStart"/>
      <w:r w:rsidRPr="00A50E7E">
        <w:rPr>
          <w:i/>
          <w:color w:val="000000"/>
          <w:lang w:val="id-ID"/>
        </w:rPr>
        <w:t>capitalization</w:t>
      </w:r>
      <w:proofErr w:type="spellEnd"/>
      <w:r w:rsidRPr="00A50E7E">
        <w:rPr>
          <w:i/>
          <w:color w:val="000000"/>
          <w:lang w:val="id-ID"/>
        </w:rPr>
        <w:t xml:space="preserve"> </w:t>
      </w:r>
      <w:proofErr w:type="spellStart"/>
      <w:r w:rsidRPr="00A50E7E">
        <w:rPr>
          <w:i/>
          <w:color w:val="000000"/>
          <w:lang w:val="id-ID"/>
        </w:rPr>
        <w:t>rule</w:t>
      </w:r>
      <w:proofErr w:type="spellEnd"/>
      <w:r w:rsidRPr="00A50E7E">
        <w:rPr>
          <w:i/>
          <w:color w:val="000000"/>
          <w:lang w:val="id-ID"/>
        </w:rPr>
        <w:t xml:space="preserve"> </w:t>
      </w:r>
      <w:r w:rsidRPr="00A50E7E">
        <w:rPr>
          <w:color w:val="000000"/>
          <w:lang w:val="id-ID"/>
        </w:rPr>
        <w:t xml:space="preserve">(batas rasio utang terhadap </w:t>
      </w:r>
      <w:r w:rsidRPr="00A50E7E">
        <w:rPr>
          <w:i/>
          <w:color w:val="000000"/>
          <w:lang w:val="id-ID"/>
        </w:rPr>
        <w:t xml:space="preserve">ekuitas </w:t>
      </w:r>
      <w:r w:rsidRPr="00A50E7E">
        <w:rPr>
          <w:color w:val="000000"/>
          <w:lang w:val="id-ID"/>
        </w:rPr>
        <w:t xml:space="preserve">yang dapat diakui untuk keperluan pajak) membatasi perusahaan untuk mengoptimalkan penghematan pajak dari bunga utang. Regulasi ini mengakibatkan perusahaan yang sudah berada di ambang batas rasio tersebut, tidak lagi terdorong untuk meningkatkan utangnya hanya demi penghematan pajak, karena manfaat pajaknya menjadi terbatas atau tidak relevan. Selain itu, adanya prinsip transparansi menyebabkan, strategi penghindaran pajak yang terlalu agresif bisa menurunkan reputasi dan kepercayaan investor. Maka dari itu pihak perusahaan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dan </w:t>
      </w:r>
      <w:r w:rsidRPr="00A50E7E">
        <w:rPr>
          <w:i/>
          <w:color w:val="000000"/>
          <w:lang w:val="id-ID"/>
        </w:rPr>
        <w:t xml:space="preserve">real </w:t>
      </w:r>
      <w:proofErr w:type="spellStart"/>
      <w:r w:rsidRPr="00A50E7E">
        <w:rPr>
          <w:i/>
          <w:color w:val="000000"/>
          <w:lang w:val="id-ID"/>
        </w:rPr>
        <w:t>estate</w:t>
      </w:r>
      <w:proofErr w:type="spellEnd"/>
      <w:r w:rsidRPr="00A50E7E">
        <w:rPr>
          <w:i/>
          <w:color w:val="000000"/>
          <w:lang w:val="id-ID"/>
        </w:rPr>
        <w:t xml:space="preserve"> </w:t>
      </w:r>
      <w:r w:rsidRPr="00A50E7E">
        <w:rPr>
          <w:color w:val="000000"/>
          <w:lang w:val="id-ID"/>
        </w:rPr>
        <w:t>memilih strategi penghindaran pajak yang lebih konservatif guna menjaga reputasi jangka panjang dibandingkan mengejar efisiensi pajak melalui struktur utang tinggi (struktur modal).</w:t>
      </w:r>
    </w:p>
    <w:p w14:paraId="40A3DA7D" w14:textId="34173C38" w:rsidR="00E634F5" w:rsidRPr="00A50E7E" w:rsidRDefault="00E634F5" w:rsidP="005527F9">
      <w:pPr>
        <w:spacing w:before="120" w:after="120"/>
        <w:rPr>
          <w:color w:val="000000"/>
          <w:lang w:val="id-ID"/>
        </w:rPr>
      </w:pPr>
      <w:r w:rsidRPr="00A50E7E">
        <w:rPr>
          <w:color w:val="000000"/>
          <w:lang w:val="id-ID"/>
        </w:rPr>
        <w:t xml:space="preserve">Teori akuntansi yang relevan untuk menjelaskan hasil penelitian di atas adalah Teori </w:t>
      </w:r>
      <w:r w:rsidRPr="00A50E7E">
        <w:rPr>
          <w:i/>
          <w:color w:val="000000"/>
          <w:lang w:val="id-ID"/>
        </w:rPr>
        <w:t>Trade-</w:t>
      </w:r>
      <w:proofErr w:type="spellStart"/>
      <w:r w:rsidRPr="00A50E7E">
        <w:rPr>
          <w:i/>
          <w:color w:val="000000"/>
          <w:lang w:val="id-ID"/>
        </w:rPr>
        <w:t>Off</w:t>
      </w:r>
      <w:proofErr w:type="spellEnd"/>
      <w:r w:rsidRPr="00A50E7E">
        <w:rPr>
          <w:i/>
          <w:color w:val="000000"/>
          <w:lang w:val="id-ID"/>
        </w:rPr>
        <w:t xml:space="preserve"> (Trade-</w:t>
      </w:r>
      <w:proofErr w:type="spellStart"/>
      <w:r w:rsidRPr="00A50E7E">
        <w:rPr>
          <w:i/>
          <w:color w:val="000000"/>
          <w:lang w:val="id-ID"/>
        </w:rPr>
        <w:t>Off</w:t>
      </w:r>
      <w:proofErr w:type="spellEnd"/>
      <w:r w:rsidRPr="00A50E7E">
        <w:rPr>
          <w:i/>
          <w:color w:val="000000"/>
          <w:lang w:val="id-ID"/>
        </w:rPr>
        <w:t xml:space="preserve"> </w:t>
      </w:r>
      <w:proofErr w:type="spellStart"/>
      <w:r w:rsidRPr="00A50E7E">
        <w:rPr>
          <w:i/>
          <w:color w:val="000000"/>
          <w:lang w:val="id-ID"/>
        </w:rPr>
        <w:lastRenderedPageBreak/>
        <w:t>Theory</w:t>
      </w:r>
      <w:proofErr w:type="spellEnd"/>
      <w:r w:rsidRPr="00A50E7E">
        <w:rPr>
          <w:i/>
          <w:color w:val="000000"/>
          <w:lang w:val="id-ID"/>
        </w:rPr>
        <w:t xml:space="preserve">) </w:t>
      </w:r>
      <w:r w:rsidRPr="00A50E7E">
        <w:rPr>
          <w:color w:val="000000"/>
          <w:lang w:val="id-ID"/>
        </w:rPr>
        <w:t>dalam struktur modal</w:t>
      </w:r>
      <w:r w:rsidR="007C665C" w:rsidRPr="00A50E7E">
        <w:rPr>
          <w:color w:val="000000"/>
          <w:lang w:val="id-ID"/>
        </w:rPr>
        <w:t xml:space="preserve"> </w:t>
      </w:r>
      <w:r w:rsidR="007C665C" w:rsidRPr="00A50E7E">
        <w:rPr>
          <w:color w:val="000000"/>
          <w:lang w:val="id-ID"/>
        </w:rPr>
        <w:fldChar w:fldCharType="begin" w:fldLock="1"/>
      </w:r>
      <w:r w:rsidR="007C665C" w:rsidRPr="00A50E7E">
        <w:rPr>
          <w:color w:val="000000"/>
          <w:lang w:val="id-ID"/>
        </w:rPr>
        <w:instrText>ADDIN CSL_CITATION {"citationItems":[{"id":"ITEM-1","itemData":{"DOI":"10.1111/j.1540-6261.1973.tb01415.x","ISSN":"0022-1082","author":[{"dropping-particle":"","family":"Kraus","given":"Alan","non-dropping-particle":"","parse-names":false,"suffix":""},{"dropping-particle":"","family":"Litzenberger","given":"Robert H.","non-dropping-particle":"","parse-names":false,"suffix":""}],"container-title":"The Journal of Finance","id":"ITEM-1","issue":"4","issued":{"date-parts":[["1973","9","30"]]},"page":"911-922","title":"A State Preference Model of Optimal Financial Leverage","type":"article-journal","volume":"28"},"uris":["http://www.mendeley.com/documents/?uuid=97eefef1-c26a-4f3f-b234-403f4ceb67af"]}],"mendeley":{"formattedCitation":"[13]","plainTextFormattedCitation":"[13]","previouslyFormattedCitation":"(Kraus &amp; Litzenberger, 1973)"},"properties":{"noteIndex":0},"schema":"https://github.com/citation-style-language/schema/raw/master/csl-citation.json"}</w:instrText>
      </w:r>
      <w:r w:rsidR="007C665C" w:rsidRPr="00A50E7E">
        <w:rPr>
          <w:color w:val="000000"/>
          <w:lang w:val="id-ID"/>
        </w:rPr>
        <w:fldChar w:fldCharType="separate"/>
      </w:r>
      <w:r w:rsidR="007C665C" w:rsidRPr="00A50E7E">
        <w:rPr>
          <w:color w:val="000000"/>
          <w:lang w:val="id-ID"/>
        </w:rPr>
        <w:t>[</w:t>
      </w:r>
      <w:hyperlink w:anchor="a13" w:history="1">
        <w:r w:rsidR="007C665C" w:rsidRPr="00A50E7E">
          <w:rPr>
            <w:rStyle w:val="Hyperlink"/>
            <w:u w:val="none"/>
            <w:lang w:val="id-ID"/>
          </w:rPr>
          <w:t>13</w:t>
        </w:r>
      </w:hyperlink>
      <w:r w:rsidR="007C665C" w:rsidRPr="00A50E7E">
        <w:rPr>
          <w:color w:val="000000"/>
          <w:lang w:val="id-ID"/>
        </w:rPr>
        <w:t>]</w:t>
      </w:r>
      <w:r w:rsidR="007C665C" w:rsidRPr="00A50E7E">
        <w:rPr>
          <w:color w:val="000000"/>
          <w:lang w:val="id-ID"/>
        </w:rPr>
        <w:fldChar w:fldCharType="end"/>
      </w:r>
      <w:r w:rsidR="00D9467E" w:rsidRPr="00A50E7E">
        <w:rPr>
          <w:color w:val="000000"/>
          <w:lang w:val="id-ID"/>
        </w:rPr>
        <w:t xml:space="preserve">. </w:t>
      </w:r>
      <w:r w:rsidRPr="00A50E7E">
        <w:rPr>
          <w:color w:val="000000"/>
          <w:lang w:val="id-ID"/>
        </w:rPr>
        <w:t xml:space="preserve">Teori ini menyatakan bahwa perusahaan akan menentukan struktur modal optimal dengan menyeimbangkan antara manfaat pajak dari utang </w:t>
      </w:r>
      <w:r w:rsidRPr="00A50E7E">
        <w:rPr>
          <w:i/>
          <w:color w:val="000000"/>
          <w:lang w:val="id-ID"/>
        </w:rPr>
        <w:t>(</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shield</w:t>
      </w:r>
      <w:proofErr w:type="spellEnd"/>
      <w:r w:rsidRPr="00A50E7E">
        <w:rPr>
          <w:i/>
          <w:color w:val="000000"/>
          <w:lang w:val="id-ID"/>
        </w:rPr>
        <w:t xml:space="preserve">) </w:t>
      </w:r>
      <w:r w:rsidRPr="00A50E7E">
        <w:rPr>
          <w:color w:val="000000"/>
          <w:lang w:val="id-ID"/>
        </w:rPr>
        <w:t xml:space="preserve">dan biaya kebangkrutan atau risiko keuangan yang meningkat akibat penggunaan utang yang berlebihan. Dengan kata lain, perusahaan tidak akan semata-mata memaksimalkan utang hanya untuk mengurangi pajak, tetapi juga mempertimbangkan risiko lain yang timbul dari </w:t>
      </w:r>
      <w:proofErr w:type="spellStart"/>
      <w:r w:rsidRPr="00A50E7E">
        <w:rPr>
          <w:i/>
          <w:color w:val="000000"/>
          <w:lang w:val="id-ID"/>
        </w:rPr>
        <w:t>leverage</w:t>
      </w:r>
      <w:proofErr w:type="spellEnd"/>
      <w:r w:rsidRPr="00A50E7E">
        <w:rPr>
          <w:i/>
          <w:color w:val="000000"/>
          <w:lang w:val="id-ID"/>
        </w:rPr>
        <w:t xml:space="preserve"> </w:t>
      </w:r>
      <w:r w:rsidRPr="00A50E7E">
        <w:rPr>
          <w:color w:val="000000"/>
          <w:lang w:val="id-ID"/>
        </w:rPr>
        <w:t xml:space="preserve">tinggi. Teori ini menjelaskan, proporsi utang yang tinggi dalam struktur modal tidak serta-merta mendorong praktik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secara signifikan. Perusahaan di sektor ini cenderung lebih berhati-hati dalam mengelola struktur modal karena proyek-proyeknya bersifat jangka panjang dan padat modal, serta sangat dipengaruhi oleh kondisi makroekonomi dan regulasi. Oleh karena itu, meskipun bunga utang dapat memberikan keuntungan pajak </w:t>
      </w:r>
      <w:r w:rsidRPr="00A50E7E">
        <w:rPr>
          <w:i/>
          <w:color w:val="000000"/>
          <w:lang w:val="id-ID"/>
        </w:rPr>
        <w:t>(</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deductible</w:t>
      </w:r>
      <w:proofErr w:type="spellEnd"/>
      <w:r w:rsidRPr="00A50E7E">
        <w:rPr>
          <w:i/>
          <w:color w:val="000000"/>
          <w:lang w:val="id-ID"/>
        </w:rPr>
        <w:t>)</w:t>
      </w:r>
      <w:r w:rsidRPr="00A50E7E">
        <w:rPr>
          <w:color w:val="000000"/>
          <w:lang w:val="id-ID"/>
        </w:rPr>
        <w:t xml:space="preserve">, manajemen perusahaan lebih fokus pada pengelolaan risiko dan kelangsungan operasional dibandingkan optimalisasi pajak semata. Hasil penelitian ini sejalan dengan penelitian </w:t>
      </w:r>
      <w:proofErr w:type="spellStart"/>
      <w:r w:rsidR="00A54107" w:rsidRPr="00A50E7E">
        <w:rPr>
          <w:color w:val="000000"/>
        </w:rPr>
        <w:t>tertentu</w:t>
      </w:r>
      <w:proofErr w:type="spellEnd"/>
      <w:r w:rsidR="00D9467E" w:rsidRPr="00A50E7E">
        <w:rPr>
          <w:color w:val="000000"/>
          <w:lang w:val="id-ID"/>
        </w:rPr>
        <w:t xml:space="preserve">, </w:t>
      </w:r>
      <w:proofErr w:type="spellStart"/>
      <w:r w:rsidRPr="00A50E7E">
        <w:rPr>
          <w:color w:val="000000"/>
          <w:lang w:val="id-ID"/>
        </w:rPr>
        <w:t>dimana</w:t>
      </w:r>
      <w:proofErr w:type="spellEnd"/>
      <w:r w:rsidRPr="00A50E7E">
        <w:rPr>
          <w:color w:val="000000"/>
          <w:lang w:val="id-ID"/>
        </w:rPr>
        <w:t xml:space="preserve"> menunjukkan bahwa struktur modal berpengaruh negatif dan tidak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00A54107" w:rsidRPr="00A50E7E">
        <w:rPr>
          <w:i/>
          <w:color w:val="000000"/>
        </w:rPr>
        <w:t xml:space="preserve"> </w:t>
      </w:r>
      <w:r w:rsidR="00A54107" w:rsidRPr="00A50E7E">
        <w:rPr>
          <w:color w:val="000000"/>
          <w:lang w:val="id-ID"/>
        </w:rPr>
        <w:fldChar w:fldCharType="begin" w:fldLock="1"/>
      </w:r>
      <w:r w:rsidR="00A54107" w:rsidRPr="00A50E7E">
        <w:rPr>
          <w:color w:val="000000"/>
          <w:lang w:val="id-ID"/>
        </w:rPr>
        <w:instrText>ADDIN CSL_CITATION {"citationItems":[{"id":"ITEM-1","itemData":{"DOI":"https://doi.org/10.37531/sejaman.v6i1.4314","author":[{"dropping-particle":"","family":"Julkam","given":"J.","non-dropping-particle":"","parse-names":false,"suffix":""},{"dropping-particle":"","family":"Efriyenti","given":"D.","non-dropping-particle":"","parse-names":false,"suffix":""}],"container-title":"SEIKO: Journal of Management &amp; Business","id":"ITEM-1","issue":"1","issued":{"date-parts":[["2023"]]},"page":"459-470","title":"Analisis Faktor-Faktor Yang Mempengaruhi Tax Avoidance Pada Perusahaan Manufaktur","type":"article-journal","volume":"6"},"uris":["http://www.mendeley.com/documents/?uuid=3ded4dad-b906-4106-a866-fd42be4ef405"]}],"mendeley":{"formattedCitation":"[14]","plainTextFormattedCitation":"[14]","previouslyFormattedCitation":"(Julkam &amp; Efriyenti, 2023)"},"properties":{"noteIndex":0},"schema":"https://github.com/citation-style-language/schema/raw/master/csl-citation.json"}</w:instrText>
      </w:r>
      <w:r w:rsidR="00A54107" w:rsidRPr="00A50E7E">
        <w:rPr>
          <w:color w:val="000000"/>
          <w:lang w:val="id-ID"/>
        </w:rPr>
        <w:fldChar w:fldCharType="separate"/>
      </w:r>
      <w:r w:rsidR="00A54107" w:rsidRPr="00A50E7E">
        <w:rPr>
          <w:color w:val="000000"/>
          <w:lang w:val="id-ID"/>
        </w:rPr>
        <w:t>[</w:t>
      </w:r>
      <w:hyperlink w:anchor="a14" w:history="1">
        <w:r w:rsidR="00A54107" w:rsidRPr="00A50E7E">
          <w:rPr>
            <w:rStyle w:val="Hyperlink"/>
            <w:u w:val="none"/>
            <w:lang w:val="id-ID"/>
          </w:rPr>
          <w:t>14</w:t>
        </w:r>
      </w:hyperlink>
      <w:r w:rsidR="00A54107" w:rsidRPr="00A50E7E">
        <w:rPr>
          <w:color w:val="000000"/>
          <w:lang w:val="id-ID"/>
        </w:rPr>
        <w:t>]</w:t>
      </w:r>
      <w:r w:rsidR="00A54107" w:rsidRPr="00A50E7E">
        <w:rPr>
          <w:color w:val="000000"/>
          <w:lang w:val="id-ID"/>
        </w:rPr>
        <w:fldChar w:fldCharType="end"/>
      </w:r>
      <w:r w:rsidRPr="00A50E7E">
        <w:rPr>
          <w:color w:val="000000"/>
          <w:lang w:val="id-ID"/>
        </w:rPr>
        <w:t>.</w:t>
      </w:r>
    </w:p>
    <w:p w14:paraId="6901B364" w14:textId="77777777" w:rsidR="00E634F5" w:rsidRPr="00A50E7E" w:rsidRDefault="00E634F5" w:rsidP="005527F9">
      <w:pPr>
        <w:numPr>
          <w:ilvl w:val="0"/>
          <w:numId w:val="13"/>
        </w:numPr>
        <w:spacing w:before="120" w:after="120"/>
        <w:ind w:left="426" w:hanging="426"/>
        <w:rPr>
          <w:bCs/>
          <w:color w:val="000000"/>
          <w:lang w:val="id-ID"/>
        </w:rPr>
      </w:pPr>
      <w:r w:rsidRPr="00A50E7E">
        <w:rPr>
          <w:bCs/>
          <w:color w:val="000000"/>
          <w:lang w:val="id-ID"/>
        </w:rPr>
        <w:t xml:space="preserve">Pengaruh Profitabilitas (X2) Terhadap </w:t>
      </w:r>
      <w:proofErr w:type="spellStart"/>
      <w:r w:rsidRPr="00A50E7E">
        <w:rPr>
          <w:bCs/>
          <w:i/>
          <w:color w:val="000000"/>
          <w:lang w:val="id-ID"/>
        </w:rPr>
        <w:t>Tax</w:t>
      </w:r>
      <w:proofErr w:type="spellEnd"/>
      <w:r w:rsidRPr="00A50E7E">
        <w:rPr>
          <w:bCs/>
          <w:i/>
          <w:color w:val="000000"/>
          <w:lang w:val="id-ID"/>
        </w:rPr>
        <w:t xml:space="preserve"> </w:t>
      </w:r>
      <w:proofErr w:type="spellStart"/>
      <w:r w:rsidRPr="00A50E7E">
        <w:rPr>
          <w:bCs/>
          <w:i/>
          <w:color w:val="000000"/>
          <w:lang w:val="id-ID"/>
        </w:rPr>
        <w:t>Avoidance</w:t>
      </w:r>
      <w:proofErr w:type="spellEnd"/>
      <w:r w:rsidRPr="00A50E7E">
        <w:rPr>
          <w:bCs/>
          <w:i/>
          <w:color w:val="000000"/>
          <w:lang w:val="id-ID"/>
        </w:rPr>
        <w:t xml:space="preserve"> </w:t>
      </w:r>
      <w:r w:rsidRPr="00A50E7E">
        <w:rPr>
          <w:bCs/>
          <w:color w:val="000000"/>
          <w:lang w:val="id-ID"/>
        </w:rPr>
        <w:t>(Y)</w:t>
      </w:r>
    </w:p>
    <w:p w14:paraId="014BF633" w14:textId="77777777" w:rsidR="00E634F5" w:rsidRPr="00A50E7E" w:rsidRDefault="00E634F5" w:rsidP="005527F9">
      <w:pPr>
        <w:spacing w:before="120" w:after="120"/>
        <w:rPr>
          <w:color w:val="000000"/>
          <w:lang w:val="id-ID"/>
        </w:rPr>
      </w:pPr>
      <w:r w:rsidRPr="00A50E7E">
        <w:rPr>
          <w:color w:val="000000"/>
          <w:lang w:val="id-ID"/>
        </w:rPr>
        <w:t>Hasil penelitian ini menunjukkan bahwa terdapat pengaruh positif dan signifikan antara profitabilitas terhadap praktik penghindaran pajak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 xml:space="preserve">) pada perusahaan sektor properti dan </w:t>
      </w:r>
      <w:r w:rsidRPr="00A50E7E">
        <w:rPr>
          <w:i/>
          <w:iCs/>
          <w:color w:val="000000"/>
          <w:lang w:val="id-ID"/>
        </w:rPr>
        <w:t xml:space="preserve">real </w:t>
      </w:r>
      <w:proofErr w:type="spellStart"/>
      <w:r w:rsidRPr="00A50E7E">
        <w:rPr>
          <w:i/>
          <w:iCs/>
          <w:color w:val="000000"/>
          <w:lang w:val="id-ID"/>
        </w:rPr>
        <w:t>estate</w:t>
      </w:r>
      <w:proofErr w:type="spellEnd"/>
      <w:r w:rsidRPr="00A50E7E">
        <w:rPr>
          <w:color w:val="000000"/>
          <w:lang w:val="id-ID"/>
        </w:rPr>
        <w:t xml:space="preserve"> yang terdaftar di Bursa Efek Indonesia (BEI). Secara konseptual, tingkat profitabilitas yang tinggi merefleksikan kemampuan perusahaan dalam menghasilkan laba dari aktivitas operasional. Namun demikian, peningkatan laba juga diikuti oleh kenaikan kewajiban pajak, sehingga mendorong manajemen untuk mengadopsi strategi penghindaran pajak guna mempertahankan atau memaksimalkan laba bersih setelah pajak secara legal dan efisien.</w:t>
      </w:r>
    </w:p>
    <w:p w14:paraId="5A30A119" w14:textId="77777777" w:rsidR="00E634F5" w:rsidRPr="00A50E7E" w:rsidRDefault="00E634F5" w:rsidP="005527F9">
      <w:pPr>
        <w:spacing w:before="120" w:after="120"/>
        <w:rPr>
          <w:color w:val="000000"/>
          <w:lang w:val="id-ID"/>
        </w:rPr>
      </w:pPr>
      <w:r w:rsidRPr="00A50E7E">
        <w:rPr>
          <w:color w:val="000000"/>
          <w:lang w:val="id-ID"/>
        </w:rPr>
        <w:t xml:space="preserve">Karakteristik industri properti dan </w:t>
      </w:r>
      <w:r w:rsidRPr="00A50E7E">
        <w:rPr>
          <w:i/>
          <w:iCs/>
          <w:color w:val="000000"/>
          <w:lang w:val="id-ID"/>
        </w:rPr>
        <w:t xml:space="preserve">real </w:t>
      </w:r>
      <w:proofErr w:type="spellStart"/>
      <w:r w:rsidRPr="00A50E7E">
        <w:rPr>
          <w:i/>
          <w:iCs/>
          <w:color w:val="000000"/>
          <w:lang w:val="id-ID"/>
        </w:rPr>
        <w:t>estate</w:t>
      </w:r>
      <w:proofErr w:type="spellEnd"/>
      <w:r w:rsidRPr="00A50E7E">
        <w:rPr>
          <w:color w:val="000000"/>
          <w:lang w:val="id-ID"/>
        </w:rPr>
        <w:t>, seperti siklus proyek jangka panjang, tingginya fluktuasi permintaan, serta kebutuhan investasi dalam aset tetap yang besar, menjadikan pengelolaan beban pajak sebagai aspek penting dalam strategi keuangan. Dalam kondisi profitabilitas yang meningkat, baik melalui penjualan aset properti maupun apresiasi nilai investasi, perusahaan cenderung menyusun perencanaan pajak strategis. Strategi tersebut antara lain mencakup pembentukan entitas anak di yurisdiksi dengan tarif pajak lebih rendah, pengaturan waktu pengakuan pendapatan (</w:t>
      </w:r>
      <w:proofErr w:type="spellStart"/>
      <w:r w:rsidRPr="00A50E7E">
        <w:rPr>
          <w:i/>
          <w:color w:val="000000"/>
          <w:lang w:val="id-ID"/>
        </w:rPr>
        <w:t>revenue</w:t>
      </w:r>
      <w:proofErr w:type="spellEnd"/>
      <w:r w:rsidRPr="00A50E7E">
        <w:rPr>
          <w:i/>
          <w:color w:val="000000"/>
          <w:lang w:val="id-ID"/>
        </w:rPr>
        <w:t xml:space="preserve"> </w:t>
      </w:r>
      <w:proofErr w:type="spellStart"/>
      <w:r w:rsidRPr="00A50E7E">
        <w:rPr>
          <w:i/>
          <w:color w:val="000000"/>
          <w:lang w:val="id-ID"/>
        </w:rPr>
        <w:t>timing</w:t>
      </w:r>
      <w:proofErr w:type="spellEnd"/>
      <w:r w:rsidRPr="00A50E7E">
        <w:rPr>
          <w:color w:val="000000"/>
          <w:lang w:val="id-ID"/>
        </w:rPr>
        <w:t xml:space="preserve">), serta pemanfaatan fasilitas insentif fiskal seperti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holiday</w:t>
      </w:r>
      <w:proofErr w:type="spellEnd"/>
      <w:r w:rsidRPr="00A50E7E">
        <w:rPr>
          <w:color w:val="000000"/>
          <w:lang w:val="id-ID"/>
        </w:rPr>
        <w:t>.</w:t>
      </w:r>
    </w:p>
    <w:p w14:paraId="16A11A1F" w14:textId="77777777" w:rsidR="00E634F5" w:rsidRPr="00A50E7E" w:rsidRDefault="00E634F5" w:rsidP="005527F9">
      <w:pPr>
        <w:spacing w:before="120" w:after="120"/>
        <w:rPr>
          <w:color w:val="000000"/>
          <w:lang w:val="id-ID"/>
        </w:rPr>
      </w:pPr>
      <w:r w:rsidRPr="00A50E7E">
        <w:rPr>
          <w:color w:val="000000"/>
          <w:lang w:val="id-ID"/>
        </w:rPr>
        <w:t xml:space="preserve">Dari perspektif akuntansi keuangan, perusahaan dengan tingkat laba tinggi umumnya memiliki sumber daya yang cukup untuk menggunakan jasa konsultan pajak profesional atau menerapkan praktik akuntansi agresif yang masih berada dalam batas kepatuhan terhadap </w:t>
      </w:r>
      <w:r w:rsidRPr="00A50E7E">
        <w:rPr>
          <w:color w:val="000000"/>
          <w:lang w:val="id-ID"/>
        </w:rPr>
        <w:t xml:space="preserve">peraturan perpajakan. Praktik tersebut dikenal sebagai </w:t>
      </w:r>
      <w:proofErr w:type="spellStart"/>
      <w:r w:rsidRPr="00A50E7E">
        <w:rPr>
          <w:i/>
          <w:color w:val="000000"/>
          <w:lang w:val="id-ID"/>
        </w:rPr>
        <w:t>strategic</w:t>
      </w:r>
      <w:proofErr w:type="spellEnd"/>
      <w:r w:rsidRPr="00A50E7E">
        <w:rPr>
          <w:i/>
          <w:color w:val="000000"/>
          <w:lang w:val="id-ID"/>
        </w:rPr>
        <w:t xml:space="preserve">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planning</w:t>
      </w:r>
      <w:proofErr w:type="spellEnd"/>
      <w:r w:rsidRPr="00A50E7E">
        <w:rPr>
          <w:color w:val="000000"/>
          <w:lang w:val="id-ID"/>
        </w:rPr>
        <w:t>, yaitu upaya sistematis dalam menyusun struktur transaksi dan pelaporan keuangan untuk meminimalkan beban pajak. Konsekuensinya, akan terjadi perbedaan yang signifikan antara laba akuntansi (</w:t>
      </w:r>
      <w:proofErr w:type="spellStart"/>
      <w:r w:rsidRPr="00A50E7E">
        <w:rPr>
          <w:i/>
          <w:color w:val="000000"/>
          <w:lang w:val="id-ID"/>
        </w:rPr>
        <w:t>book</w:t>
      </w:r>
      <w:proofErr w:type="spellEnd"/>
      <w:r w:rsidRPr="00A50E7E">
        <w:rPr>
          <w:i/>
          <w:color w:val="000000"/>
          <w:lang w:val="id-ID"/>
        </w:rPr>
        <w:t xml:space="preserve"> </w:t>
      </w:r>
      <w:proofErr w:type="spellStart"/>
      <w:r w:rsidRPr="00A50E7E">
        <w:rPr>
          <w:i/>
          <w:color w:val="000000"/>
          <w:lang w:val="id-ID"/>
        </w:rPr>
        <w:t>income</w:t>
      </w:r>
      <w:proofErr w:type="spellEnd"/>
      <w:r w:rsidRPr="00A50E7E">
        <w:rPr>
          <w:color w:val="000000"/>
          <w:lang w:val="id-ID"/>
        </w:rPr>
        <w:t>) dan laba kena pajak (</w:t>
      </w:r>
      <w:proofErr w:type="spellStart"/>
      <w:r w:rsidRPr="00A50E7E">
        <w:rPr>
          <w:i/>
          <w:color w:val="000000"/>
          <w:lang w:val="id-ID"/>
        </w:rPr>
        <w:t>taxable</w:t>
      </w:r>
      <w:proofErr w:type="spellEnd"/>
      <w:r w:rsidRPr="00A50E7E">
        <w:rPr>
          <w:i/>
          <w:color w:val="000000"/>
          <w:lang w:val="id-ID"/>
        </w:rPr>
        <w:t xml:space="preserve"> </w:t>
      </w:r>
      <w:proofErr w:type="spellStart"/>
      <w:r w:rsidRPr="00A50E7E">
        <w:rPr>
          <w:i/>
          <w:color w:val="000000"/>
          <w:lang w:val="id-ID"/>
        </w:rPr>
        <w:t>income</w:t>
      </w:r>
      <w:proofErr w:type="spellEnd"/>
      <w:r w:rsidRPr="00A50E7E">
        <w:rPr>
          <w:color w:val="000000"/>
          <w:lang w:val="id-ID"/>
        </w:rPr>
        <w:t xml:space="preserve">), yang dalam literatur dikenal sebagai </w:t>
      </w:r>
      <w:proofErr w:type="spellStart"/>
      <w:r w:rsidRPr="00A50E7E">
        <w:rPr>
          <w:i/>
          <w:color w:val="000000"/>
          <w:lang w:val="id-ID"/>
        </w:rPr>
        <w:t>book</w:t>
      </w:r>
      <w:proofErr w:type="spellEnd"/>
      <w:r w:rsidRPr="00A50E7E">
        <w:rPr>
          <w:i/>
          <w:color w:val="000000"/>
          <w:lang w:val="id-ID"/>
        </w:rPr>
        <w:t xml:space="preserve">-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difference</w:t>
      </w:r>
      <w:proofErr w:type="spellEnd"/>
      <w:r w:rsidRPr="00A50E7E">
        <w:rPr>
          <w:color w:val="000000"/>
          <w:lang w:val="id-ID"/>
        </w:rPr>
        <w:t xml:space="preserve">, yang sering menjadi indikator umum adanya praktik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w:t>
      </w:r>
    </w:p>
    <w:p w14:paraId="3D73D4A1" w14:textId="77777777" w:rsidR="00E634F5" w:rsidRPr="00A50E7E" w:rsidRDefault="00E634F5" w:rsidP="005527F9">
      <w:pPr>
        <w:spacing w:before="120" w:after="120"/>
        <w:rPr>
          <w:color w:val="000000"/>
          <w:lang w:val="id-ID"/>
        </w:rPr>
      </w:pPr>
      <w:r w:rsidRPr="00A50E7E">
        <w:rPr>
          <w:color w:val="000000"/>
          <w:lang w:val="id-ID"/>
        </w:rPr>
        <w:t xml:space="preserve">Lebih lanjut, perusahaan sektor properti yang mencatatkan kinerja laba tinggi di BEI juga menghadapi ekspektasi tinggi dari investor untuk menjaga efisiensi keuangan. Dalam hal ini, indikator seperti laba bersih, </w:t>
      </w:r>
      <w:proofErr w:type="spellStart"/>
      <w:r w:rsidRPr="00A50E7E">
        <w:rPr>
          <w:i/>
          <w:color w:val="000000"/>
          <w:lang w:val="id-ID"/>
        </w:rPr>
        <w:t>Return</w:t>
      </w:r>
      <w:proofErr w:type="spellEnd"/>
      <w:r w:rsidRPr="00A50E7E">
        <w:rPr>
          <w:i/>
          <w:color w:val="000000"/>
          <w:lang w:val="id-ID"/>
        </w:rPr>
        <w:t xml:space="preserve"> </w:t>
      </w:r>
      <w:proofErr w:type="spellStart"/>
      <w:r w:rsidRPr="00A50E7E">
        <w:rPr>
          <w:i/>
          <w:color w:val="000000"/>
          <w:lang w:val="id-ID"/>
        </w:rPr>
        <w:t>on</w:t>
      </w:r>
      <w:proofErr w:type="spellEnd"/>
      <w:r w:rsidRPr="00A50E7E">
        <w:rPr>
          <w:i/>
          <w:color w:val="000000"/>
          <w:lang w:val="id-ID"/>
        </w:rPr>
        <w:t xml:space="preserve"> </w:t>
      </w:r>
      <w:proofErr w:type="spellStart"/>
      <w:r w:rsidRPr="00A50E7E">
        <w:rPr>
          <w:i/>
          <w:color w:val="000000"/>
          <w:lang w:val="id-ID"/>
        </w:rPr>
        <w:t>Assets</w:t>
      </w:r>
      <w:proofErr w:type="spellEnd"/>
      <w:r w:rsidRPr="00A50E7E">
        <w:rPr>
          <w:i/>
          <w:color w:val="000000"/>
          <w:lang w:val="id-ID"/>
        </w:rPr>
        <w:t xml:space="preserve"> </w:t>
      </w:r>
      <w:r w:rsidRPr="00A50E7E">
        <w:rPr>
          <w:color w:val="000000"/>
          <w:lang w:val="id-ID"/>
        </w:rPr>
        <w:t xml:space="preserve">(ROA), dan </w:t>
      </w:r>
      <w:proofErr w:type="spellStart"/>
      <w:r w:rsidRPr="00A50E7E">
        <w:rPr>
          <w:i/>
          <w:color w:val="000000"/>
          <w:lang w:val="id-ID"/>
        </w:rPr>
        <w:t>Return</w:t>
      </w:r>
      <w:proofErr w:type="spellEnd"/>
      <w:r w:rsidRPr="00A50E7E">
        <w:rPr>
          <w:i/>
          <w:color w:val="000000"/>
          <w:lang w:val="id-ID"/>
        </w:rPr>
        <w:t xml:space="preserve"> </w:t>
      </w:r>
      <w:proofErr w:type="spellStart"/>
      <w:r w:rsidRPr="00A50E7E">
        <w:rPr>
          <w:i/>
          <w:color w:val="000000"/>
          <w:lang w:val="id-ID"/>
        </w:rPr>
        <w:t>on</w:t>
      </w:r>
      <w:proofErr w:type="spellEnd"/>
      <w:r w:rsidRPr="00A50E7E">
        <w:rPr>
          <w:i/>
          <w:color w:val="000000"/>
          <w:lang w:val="id-ID"/>
        </w:rPr>
        <w:t xml:space="preserve"> Equity </w:t>
      </w:r>
      <w:r w:rsidRPr="00A50E7E">
        <w:rPr>
          <w:color w:val="000000"/>
          <w:lang w:val="id-ID"/>
        </w:rPr>
        <w:t xml:space="preserve">(ROE) menjadi perhatian utama pemegang saham dalam menilai kinerja manajemen. Oleh karena itu,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menjadi salah satu instrumen yang digunakan manajemen untuk menjaga rasio-rasio keuangan tersebut tetap menarik tanpa harus mengorbankan biaya operasional maupun anggaran pengembangan proyek. Indikasi praktik tersebut dapat tercermin dalam laporan keuangan melalui nilai </w:t>
      </w:r>
      <w:proofErr w:type="spellStart"/>
      <w:r w:rsidRPr="00A50E7E">
        <w:rPr>
          <w:i/>
          <w:color w:val="000000"/>
          <w:lang w:val="id-ID"/>
        </w:rPr>
        <w:t>Effective</w:t>
      </w:r>
      <w:proofErr w:type="spellEnd"/>
      <w:r w:rsidRPr="00A50E7E">
        <w:rPr>
          <w:i/>
          <w:color w:val="000000"/>
          <w:lang w:val="id-ID"/>
        </w:rPr>
        <w:t xml:space="preserve"> </w:t>
      </w:r>
      <w:proofErr w:type="spellStart"/>
      <w:r w:rsidRPr="00A50E7E">
        <w:rPr>
          <w:i/>
          <w:color w:val="000000"/>
          <w:lang w:val="id-ID"/>
        </w:rPr>
        <w:t>Tax</w:t>
      </w:r>
      <w:proofErr w:type="spellEnd"/>
      <w:r w:rsidRPr="00A50E7E">
        <w:rPr>
          <w:i/>
          <w:color w:val="000000"/>
          <w:lang w:val="id-ID"/>
        </w:rPr>
        <w:t xml:space="preserve"> Rate </w:t>
      </w:r>
      <w:r w:rsidRPr="00A50E7E">
        <w:rPr>
          <w:color w:val="000000"/>
          <w:lang w:val="id-ID"/>
        </w:rPr>
        <w:t>(ETR) yang lebih rendah dibandingkan dengan tarif pajak standar.</w:t>
      </w:r>
    </w:p>
    <w:p w14:paraId="1FB0F543" w14:textId="3793FE23" w:rsidR="00E634F5" w:rsidRPr="00A50E7E" w:rsidRDefault="00E634F5" w:rsidP="005527F9">
      <w:pPr>
        <w:spacing w:before="120" w:after="120"/>
        <w:rPr>
          <w:color w:val="000000"/>
          <w:lang w:val="id-ID"/>
        </w:rPr>
      </w:pPr>
      <w:r w:rsidRPr="00A50E7E">
        <w:rPr>
          <w:color w:val="000000"/>
          <w:lang w:val="id-ID"/>
        </w:rPr>
        <w:t xml:space="preserve">Penjelasan teoritis atas fenomena ini dapat dianalisis melalui </w:t>
      </w:r>
      <w:proofErr w:type="spellStart"/>
      <w:r w:rsidRPr="00A50E7E">
        <w:rPr>
          <w:i/>
          <w:color w:val="000000"/>
          <w:lang w:val="id-ID"/>
        </w:rPr>
        <w:t>Agency</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007C665C" w:rsidRPr="00A50E7E">
        <w:rPr>
          <w:color w:val="000000"/>
          <w:lang w:val="id-ID"/>
        </w:rPr>
        <w:fldChar w:fldCharType="begin" w:fldLock="1"/>
      </w:r>
      <w:r w:rsidR="007C665C" w:rsidRPr="00A50E7E">
        <w:rPr>
          <w:color w:val="000000"/>
          <w:lang w:val="id-ID"/>
        </w:rPr>
        <w:instrText>ADDIN CSL_CITATION {"citationItems":[{"id":"ITEM-1","itemData":{"author":[{"dropping-particle":"","family":"Jensen","given":"M. C.","non-dropping-particle":"","parse-names":false,"suffix":""},{"dropping-particle":"","family":"Meckling","given":"W. H.","non-dropping-particle":"","parse-names":false,"suffix":""}],"id":"ITEM-1","issued":{"date-parts":[["2019"]]},"number-of-pages":"77-132","publisher":"Gower","title":"Theory of the firm: Managerial behavior, agency costs and ownership structure. In Corporate governance","type":"book"},"uris":["http://www.mendeley.com/documents/?uuid=10ab664a-4297-4eba-86e5-61ea6852c2f7"]}],"mendeley":{"formattedCitation":"[15]","plainTextFormattedCitation":"[15]","previouslyFormattedCitation":"(Jensen &amp; Meckling, 2019)"},"properties":{"noteIndex":0},"schema":"https://github.com/citation-style-language/schema/raw/master/csl-citation.json"}</w:instrText>
      </w:r>
      <w:r w:rsidR="007C665C" w:rsidRPr="00A50E7E">
        <w:rPr>
          <w:color w:val="000000"/>
          <w:lang w:val="id-ID"/>
        </w:rPr>
        <w:fldChar w:fldCharType="separate"/>
      </w:r>
      <w:r w:rsidR="007C665C" w:rsidRPr="00A50E7E">
        <w:rPr>
          <w:color w:val="000000"/>
          <w:lang w:val="id-ID"/>
        </w:rPr>
        <w:t>[</w:t>
      </w:r>
      <w:hyperlink w:anchor="a15" w:history="1">
        <w:r w:rsidR="007C665C" w:rsidRPr="00A50E7E">
          <w:rPr>
            <w:rStyle w:val="Hyperlink"/>
            <w:u w:val="none"/>
            <w:lang w:val="id-ID"/>
          </w:rPr>
          <w:t>15</w:t>
        </w:r>
      </w:hyperlink>
      <w:r w:rsidR="007C665C" w:rsidRPr="00A50E7E">
        <w:rPr>
          <w:color w:val="000000"/>
          <w:lang w:val="id-ID"/>
        </w:rPr>
        <w:t>]</w:t>
      </w:r>
      <w:r w:rsidR="007C665C" w:rsidRPr="00A50E7E">
        <w:rPr>
          <w:color w:val="000000"/>
          <w:lang w:val="id-ID"/>
        </w:rPr>
        <w:fldChar w:fldCharType="end"/>
      </w:r>
      <w:r w:rsidR="00CF519A" w:rsidRPr="00A50E7E">
        <w:rPr>
          <w:color w:val="000000"/>
          <w:lang w:val="id-ID"/>
        </w:rPr>
        <w:t xml:space="preserve">. </w:t>
      </w:r>
      <w:r w:rsidRPr="00A50E7E">
        <w:rPr>
          <w:color w:val="000000"/>
          <w:lang w:val="id-ID"/>
        </w:rPr>
        <w:t>Teori ini menggarisbawahi hubungan kontraktual antara manajer (agen) dan pemilik perusahaan (</w:t>
      </w:r>
      <w:proofErr w:type="spellStart"/>
      <w:r w:rsidRPr="00A50E7E">
        <w:rPr>
          <w:i/>
          <w:iCs/>
          <w:color w:val="000000"/>
          <w:lang w:val="id-ID"/>
        </w:rPr>
        <w:t>prin</w:t>
      </w:r>
      <w:proofErr w:type="spellEnd"/>
      <w:r w:rsidR="00716970" w:rsidRPr="00A50E7E">
        <w:rPr>
          <w:i/>
          <w:iCs/>
          <w:color w:val="000000"/>
        </w:rPr>
        <w:t>c</w:t>
      </w:r>
      <w:proofErr w:type="spellStart"/>
      <w:r w:rsidRPr="00A50E7E">
        <w:rPr>
          <w:i/>
          <w:iCs/>
          <w:color w:val="000000"/>
          <w:lang w:val="id-ID"/>
        </w:rPr>
        <w:t>ipal</w:t>
      </w:r>
      <w:proofErr w:type="spellEnd"/>
      <w:r w:rsidRPr="00A50E7E">
        <w:rPr>
          <w:color w:val="000000"/>
          <w:lang w:val="id-ID"/>
        </w:rPr>
        <w:t>), yang secara inheren memiliki kepentingan yang berbeda. Dalam kerangka ini, manajer yang diberi wewenang untuk mengelola perusahaan memiliki kepentingan personal seperti mempertahankan reputasi kinerja, memperoleh kompensasi berbasis laba, atau memenuhi target-target internal. Ketika tingkat profitabilitas perusahaan meningkat, tekanan dari pemegang saham untuk menjaga atau meningkatkan laba bersih juga meningkat. Hal ini menciptakan insentif bagi manajer untuk menyusun strategi penghindaran pajak yang sah secara hukum demi menjaga citra kinerja keuangan.</w:t>
      </w:r>
    </w:p>
    <w:p w14:paraId="62BDDDD6" w14:textId="496A9212" w:rsidR="00E634F5" w:rsidRPr="00A50E7E" w:rsidRDefault="00E634F5" w:rsidP="005527F9">
      <w:pPr>
        <w:spacing w:before="120" w:after="120"/>
        <w:rPr>
          <w:color w:val="000000"/>
          <w:lang w:val="id-ID"/>
        </w:rPr>
      </w:pPr>
      <w:r w:rsidRPr="00A50E7E">
        <w:rPr>
          <w:color w:val="000000"/>
          <w:lang w:val="id-ID"/>
        </w:rPr>
        <w:t xml:space="preserve">Praktik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tersebut dilakukan dengan memanfaatkan celah peraturan perpajakan atau merancang skema transaksi yang dapat menurunkan beban pajak tanpa melanggar hukum. Dalam konteks </w:t>
      </w:r>
      <w:proofErr w:type="spellStart"/>
      <w:r w:rsidRPr="00A50E7E">
        <w:rPr>
          <w:i/>
          <w:color w:val="000000"/>
          <w:lang w:val="id-ID"/>
        </w:rPr>
        <w:t>Agency</w:t>
      </w:r>
      <w:proofErr w:type="spellEnd"/>
      <w:r w:rsidRPr="00A50E7E">
        <w:rPr>
          <w:i/>
          <w:color w:val="000000"/>
          <w:lang w:val="id-ID"/>
        </w:rPr>
        <w:t xml:space="preserve"> </w:t>
      </w:r>
      <w:proofErr w:type="spellStart"/>
      <w:r w:rsidRPr="00A50E7E">
        <w:rPr>
          <w:i/>
          <w:color w:val="000000"/>
          <w:lang w:val="id-ID"/>
        </w:rPr>
        <w:t>Theory</w:t>
      </w:r>
      <w:proofErr w:type="spellEnd"/>
      <w:r w:rsidRPr="00A50E7E">
        <w:rPr>
          <w:color w:val="000000"/>
          <w:lang w:val="id-ID"/>
        </w:rPr>
        <w:t xml:space="preserve">, tindakan ini dapat dikategorikan sebagai bentuk perilaku </w:t>
      </w:r>
      <w:r w:rsidR="00716970" w:rsidRPr="00A50E7E">
        <w:rPr>
          <w:color w:val="000000"/>
          <w:lang w:val="id-ID"/>
        </w:rPr>
        <w:t>oportunistis</w:t>
      </w:r>
      <w:r w:rsidRPr="00A50E7E">
        <w:rPr>
          <w:color w:val="000000"/>
          <w:lang w:val="id-ID"/>
        </w:rPr>
        <w:t xml:space="preserve"> (</w:t>
      </w:r>
      <w:proofErr w:type="spellStart"/>
      <w:r w:rsidRPr="00A50E7E">
        <w:rPr>
          <w:i/>
          <w:color w:val="000000"/>
          <w:lang w:val="id-ID"/>
        </w:rPr>
        <w:t>opportunistic</w:t>
      </w:r>
      <w:proofErr w:type="spellEnd"/>
      <w:r w:rsidRPr="00A50E7E">
        <w:rPr>
          <w:i/>
          <w:color w:val="000000"/>
          <w:lang w:val="id-ID"/>
        </w:rPr>
        <w:t xml:space="preserve"> </w:t>
      </w:r>
      <w:proofErr w:type="spellStart"/>
      <w:r w:rsidRPr="00A50E7E">
        <w:rPr>
          <w:i/>
          <w:color w:val="000000"/>
          <w:lang w:val="id-ID"/>
        </w:rPr>
        <w:t>behavior</w:t>
      </w:r>
      <w:proofErr w:type="spellEnd"/>
      <w:r w:rsidRPr="00A50E7E">
        <w:rPr>
          <w:color w:val="000000"/>
          <w:lang w:val="id-ID"/>
        </w:rPr>
        <w:t xml:space="preserve">) yang mencerminkan adanya </w:t>
      </w:r>
      <w:r w:rsidR="00716970" w:rsidRPr="00A50E7E">
        <w:rPr>
          <w:color w:val="000000"/>
          <w:lang w:val="id-ID"/>
        </w:rPr>
        <w:t>asimetris</w:t>
      </w:r>
      <w:r w:rsidRPr="00A50E7E">
        <w:rPr>
          <w:color w:val="000000"/>
          <w:lang w:val="id-ID"/>
        </w:rPr>
        <w:t xml:space="preserve"> informasi antara agen dan </w:t>
      </w:r>
      <w:proofErr w:type="spellStart"/>
      <w:r w:rsidRPr="00A50E7E">
        <w:rPr>
          <w:i/>
          <w:iCs/>
          <w:color w:val="000000"/>
          <w:lang w:val="id-ID"/>
        </w:rPr>
        <w:t>prin</w:t>
      </w:r>
      <w:proofErr w:type="spellEnd"/>
      <w:r w:rsidR="00716970" w:rsidRPr="00A50E7E">
        <w:rPr>
          <w:i/>
          <w:iCs/>
          <w:color w:val="000000"/>
        </w:rPr>
        <w:t>c</w:t>
      </w:r>
      <w:proofErr w:type="spellStart"/>
      <w:r w:rsidRPr="00A50E7E">
        <w:rPr>
          <w:i/>
          <w:iCs/>
          <w:color w:val="000000"/>
          <w:lang w:val="id-ID"/>
        </w:rPr>
        <w:t>ipal</w:t>
      </w:r>
      <w:proofErr w:type="spellEnd"/>
      <w:r w:rsidRPr="00A50E7E">
        <w:rPr>
          <w:color w:val="000000"/>
          <w:lang w:val="id-ID"/>
        </w:rPr>
        <w:t>, terutama dalam aspek transparansi pengungkapan strategi pajak. Lebih jauh, semakin tinggi laba perusahaan, semakin tinggi pula ekspektasi pemegang saham terhadap imbal hasil investasinya. Hal ini semakin mendorong manajer untuk menjaga efisiensi laba melalui perencanaan pajak strategis, yang pada akhirnya juga berfungsi sebagai mekanisme pengurang biaya keagenan (</w:t>
      </w:r>
      <w:proofErr w:type="spellStart"/>
      <w:r w:rsidRPr="00A50E7E">
        <w:rPr>
          <w:i/>
          <w:color w:val="000000"/>
          <w:lang w:val="id-ID"/>
        </w:rPr>
        <w:t>agency</w:t>
      </w:r>
      <w:proofErr w:type="spellEnd"/>
      <w:r w:rsidRPr="00A50E7E">
        <w:rPr>
          <w:i/>
          <w:color w:val="000000"/>
          <w:lang w:val="id-ID"/>
        </w:rPr>
        <w:t xml:space="preserve"> </w:t>
      </w:r>
      <w:proofErr w:type="spellStart"/>
      <w:r w:rsidRPr="00A50E7E">
        <w:rPr>
          <w:i/>
          <w:color w:val="000000"/>
          <w:lang w:val="id-ID"/>
        </w:rPr>
        <w:t>cost</w:t>
      </w:r>
      <w:proofErr w:type="spellEnd"/>
      <w:r w:rsidRPr="00A50E7E">
        <w:rPr>
          <w:color w:val="000000"/>
          <w:lang w:val="id-ID"/>
        </w:rPr>
        <w:t xml:space="preserve">), selama praktik tersebut tidak bertentangan dengan ketentuan hukum yang berlaku. Oleh karena itu, </w:t>
      </w:r>
      <w:proofErr w:type="spellStart"/>
      <w:r w:rsidRPr="00A50E7E">
        <w:rPr>
          <w:i/>
          <w:color w:val="000000"/>
          <w:lang w:val="id-ID"/>
        </w:rPr>
        <w:t>Agency</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Pr="00A50E7E">
        <w:rPr>
          <w:color w:val="000000"/>
          <w:lang w:val="id-ID"/>
        </w:rPr>
        <w:t xml:space="preserve">memberikan dasar teoretis yang kuat dalam memahami kecenderungan perusahaan dengan profitabilitas tinggi </w:t>
      </w:r>
      <w:r w:rsidRPr="00A50E7E">
        <w:rPr>
          <w:color w:val="000000"/>
          <w:lang w:val="id-ID"/>
        </w:rPr>
        <w:lastRenderedPageBreak/>
        <w:t xml:space="preserve">untuk melakukan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sebagai bagian dari upaya manajerial dalam memaksimalkan nilai perusahaan. Temuan ini sejalan dengan hasil penelitian </w:t>
      </w:r>
      <w:proofErr w:type="spellStart"/>
      <w:r w:rsidR="00716970" w:rsidRPr="00A50E7E">
        <w:rPr>
          <w:color w:val="000000"/>
        </w:rPr>
        <w:t>berbeda</w:t>
      </w:r>
      <w:proofErr w:type="spellEnd"/>
      <w:r w:rsidRPr="00A50E7E">
        <w:rPr>
          <w:color w:val="000000"/>
          <w:lang w:val="id-ID"/>
        </w:rPr>
        <w:t xml:space="preserve"> yang juga menunjukkan bahwa profitabilitas berpengaruh positif dan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 sehingga memperkuat bukti empiris atas hubungan antara kinerja keuangan dan strategi perpajakan dalam konteks perusahaan publik di Indonesia</w:t>
      </w:r>
      <w:r w:rsidR="00716970" w:rsidRPr="00A50E7E">
        <w:rPr>
          <w:color w:val="000000"/>
        </w:rPr>
        <w:t xml:space="preserve"> </w:t>
      </w:r>
      <w:r w:rsidR="00716970" w:rsidRPr="00A50E7E">
        <w:rPr>
          <w:color w:val="000000"/>
          <w:lang w:val="id-ID"/>
        </w:rPr>
        <w:fldChar w:fldCharType="begin" w:fldLock="1"/>
      </w:r>
      <w:r w:rsidR="00716970" w:rsidRPr="00A50E7E">
        <w:rPr>
          <w:color w:val="000000"/>
          <w:lang w:val="id-ID"/>
        </w:rPr>
        <w:instrText>ADDIN CSL_CITATION {"citationItems":[{"id":"ITEM-1","itemData":{"author":[{"dropping-particle":"","family":"Rasyid","given":"A. F. R.","non-dropping-particle":"","parse-names":false,"suffix":""},{"dropping-particle":"","family":"Muid","given":"D.","non-dropping-particle":"","parse-names":false,"suffix":""}],"container-title":"Diponegoro Journal of Accounting","id":"ITEM-1","issue":"4","issued":{"date-parts":[["2024"]]},"title":"Pengaruh Profitabilitas Dan Leverage Terhadap Tax Avoidance Pada Perusahaan Makanan Dan Minuman Yang Terdaftar Di Bursa Efek Indonesia Tahun 2020 – 2023","type":"article-journal","volume":"13"},"uris":["http://www.mendeley.com/documents/?uuid=f223428d-3e45-4ac1-b42a-56f0c386bcf6"]}],"mendeley":{"formattedCitation":"[16]","plainTextFormattedCitation":"[16]","previouslyFormattedCitation":"(Rasyid &amp; Muid, 2024)"},"properties":{"noteIndex":0},"schema":"https://github.com/citation-style-language/schema/raw/master/csl-citation.json"}</w:instrText>
      </w:r>
      <w:r w:rsidR="00716970" w:rsidRPr="00A50E7E">
        <w:rPr>
          <w:color w:val="000000"/>
          <w:lang w:val="id-ID"/>
        </w:rPr>
        <w:fldChar w:fldCharType="separate"/>
      </w:r>
      <w:r w:rsidR="00716970" w:rsidRPr="00A50E7E">
        <w:rPr>
          <w:color w:val="000000"/>
          <w:lang w:val="id-ID"/>
        </w:rPr>
        <w:t>[</w:t>
      </w:r>
      <w:hyperlink w:anchor="a16" w:history="1">
        <w:r w:rsidR="00716970" w:rsidRPr="00A50E7E">
          <w:rPr>
            <w:rStyle w:val="Hyperlink"/>
            <w:u w:val="none"/>
            <w:lang w:val="id-ID"/>
          </w:rPr>
          <w:t>16</w:t>
        </w:r>
      </w:hyperlink>
      <w:r w:rsidR="00716970" w:rsidRPr="00A50E7E">
        <w:rPr>
          <w:color w:val="000000"/>
          <w:lang w:val="id-ID"/>
        </w:rPr>
        <w:t>]</w:t>
      </w:r>
      <w:r w:rsidR="00716970" w:rsidRPr="00A50E7E">
        <w:rPr>
          <w:color w:val="000000"/>
          <w:lang w:val="id-ID"/>
        </w:rPr>
        <w:fldChar w:fldCharType="end"/>
      </w:r>
      <w:r w:rsidRPr="00A50E7E">
        <w:rPr>
          <w:color w:val="000000"/>
          <w:lang w:val="id-ID"/>
        </w:rPr>
        <w:t>.</w:t>
      </w:r>
    </w:p>
    <w:p w14:paraId="28F4340F" w14:textId="77777777" w:rsidR="00E634F5" w:rsidRPr="00A50E7E" w:rsidRDefault="00E634F5" w:rsidP="005527F9">
      <w:pPr>
        <w:numPr>
          <w:ilvl w:val="0"/>
          <w:numId w:val="13"/>
        </w:numPr>
        <w:spacing w:before="120" w:after="120"/>
        <w:ind w:left="426" w:hanging="426"/>
        <w:rPr>
          <w:bCs/>
          <w:color w:val="000000"/>
          <w:lang w:val="id-ID"/>
        </w:rPr>
      </w:pPr>
      <w:r w:rsidRPr="00A50E7E">
        <w:rPr>
          <w:bCs/>
          <w:color w:val="000000"/>
          <w:lang w:val="id-ID"/>
        </w:rPr>
        <w:t xml:space="preserve">Pengaruh Ukuran Perusahaan (X3) Terhadap </w:t>
      </w:r>
      <w:proofErr w:type="spellStart"/>
      <w:r w:rsidRPr="00A50E7E">
        <w:rPr>
          <w:bCs/>
          <w:i/>
          <w:color w:val="000000"/>
          <w:lang w:val="id-ID"/>
        </w:rPr>
        <w:t>Tax</w:t>
      </w:r>
      <w:proofErr w:type="spellEnd"/>
      <w:r w:rsidRPr="00A50E7E">
        <w:rPr>
          <w:bCs/>
          <w:i/>
          <w:color w:val="000000"/>
          <w:lang w:val="id-ID"/>
        </w:rPr>
        <w:t xml:space="preserve"> </w:t>
      </w:r>
      <w:proofErr w:type="spellStart"/>
      <w:r w:rsidRPr="00A50E7E">
        <w:rPr>
          <w:bCs/>
          <w:i/>
          <w:color w:val="000000"/>
          <w:lang w:val="id-ID"/>
        </w:rPr>
        <w:t>Avoidance</w:t>
      </w:r>
      <w:proofErr w:type="spellEnd"/>
      <w:r w:rsidRPr="00A50E7E">
        <w:rPr>
          <w:bCs/>
          <w:i/>
          <w:color w:val="000000"/>
          <w:lang w:val="id-ID"/>
        </w:rPr>
        <w:t xml:space="preserve"> </w:t>
      </w:r>
      <w:r w:rsidRPr="00A50E7E">
        <w:rPr>
          <w:bCs/>
          <w:color w:val="000000"/>
          <w:lang w:val="id-ID"/>
        </w:rPr>
        <w:t>(Y)</w:t>
      </w:r>
    </w:p>
    <w:p w14:paraId="3B7DEAB5" w14:textId="77777777" w:rsidR="00E634F5" w:rsidRPr="00A50E7E" w:rsidRDefault="00E634F5" w:rsidP="005527F9">
      <w:pPr>
        <w:spacing w:before="120" w:after="120"/>
        <w:rPr>
          <w:color w:val="000000"/>
          <w:lang w:val="id-ID"/>
        </w:rPr>
      </w:pPr>
      <w:r w:rsidRPr="00A50E7E">
        <w:rPr>
          <w:color w:val="000000"/>
          <w:lang w:val="id-ID"/>
        </w:rPr>
        <w:t xml:space="preserve">Hasil penelitian menunjukkan pengaruh positif dan signifikan antara Ukuran Perusahaan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pada perusahaan sektor </w:t>
      </w:r>
      <w:proofErr w:type="spellStart"/>
      <w:r w:rsidRPr="00A50E7E">
        <w:rPr>
          <w:i/>
          <w:color w:val="000000"/>
          <w:lang w:val="id-ID"/>
        </w:rPr>
        <w:t>property</w:t>
      </w:r>
      <w:proofErr w:type="spellEnd"/>
      <w:r w:rsidRPr="00A50E7E">
        <w:rPr>
          <w:i/>
          <w:color w:val="000000"/>
          <w:lang w:val="id-ID"/>
        </w:rPr>
        <w:t xml:space="preserve"> real &amp; </w:t>
      </w:r>
      <w:proofErr w:type="spellStart"/>
      <w:r w:rsidRPr="00A50E7E">
        <w:rPr>
          <w:i/>
          <w:color w:val="000000"/>
          <w:lang w:val="id-ID"/>
        </w:rPr>
        <w:t>estate</w:t>
      </w:r>
      <w:proofErr w:type="spellEnd"/>
      <w:r w:rsidRPr="00A50E7E">
        <w:rPr>
          <w:i/>
          <w:color w:val="000000"/>
          <w:lang w:val="id-ID"/>
        </w:rPr>
        <w:t xml:space="preserve"> </w:t>
      </w:r>
      <w:r w:rsidRPr="00A50E7E">
        <w:rPr>
          <w:color w:val="000000"/>
          <w:lang w:val="id-ID"/>
        </w:rPr>
        <w:t>di Bursa Efek Indonesia (BEI). Ukuran perusahaan dalam konteks ini biasanya diukur melalui total aset, pendapatan, atau kapitalisasi pasar, yang mencerminkan seberapa besar dan kompleksnya operasi perusahaan. Semakin besar suatu perusahaan, maka semakin besar pula kemampuan dan sumber daya yang dimiliki untuk melakukan perencanaan pajak yang strategis, termasuk penghindaran pajak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color w:val="000000"/>
          <w:lang w:val="id-ID"/>
        </w:rPr>
        <w:t>) secara legal.</w:t>
      </w:r>
    </w:p>
    <w:p w14:paraId="68A1F1A0" w14:textId="77777777" w:rsidR="00E634F5" w:rsidRPr="00A50E7E" w:rsidRDefault="00E634F5" w:rsidP="005527F9">
      <w:pPr>
        <w:spacing w:before="120" w:after="120"/>
        <w:rPr>
          <w:color w:val="000000"/>
          <w:lang w:val="id-ID"/>
        </w:rPr>
      </w:pPr>
      <w:r w:rsidRPr="00A50E7E">
        <w:rPr>
          <w:color w:val="000000"/>
          <w:lang w:val="id-ID"/>
        </w:rPr>
        <w:t xml:space="preserve">Perusahaan besar di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memiliki struktur organisasi yang kompleks serta aktivitas operasional yang tersebar, misalnya proyek pembangunan perumahan, apartemen, dan komersial di berbagai lokasi. Kompleksitas ini memungkinkan perusahaan besar melakukan skema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planning</w:t>
      </w:r>
      <w:proofErr w:type="spellEnd"/>
      <w:r w:rsidRPr="00A50E7E">
        <w:rPr>
          <w:i/>
          <w:color w:val="000000"/>
          <w:lang w:val="id-ID"/>
        </w:rPr>
        <w:t xml:space="preserve"> </w:t>
      </w:r>
      <w:r w:rsidRPr="00A50E7E">
        <w:rPr>
          <w:color w:val="000000"/>
          <w:lang w:val="id-ID"/>
        </w:rPr>
        <w:t xml:space="preserve">yang lebih canggih dibandingkan perusahaan kecil. Misalnya, melalui pengelolaan </w:t>
      </w:r>
      <w:r w:rsidRPr="00A50E7E">
        <w:rPr>
          <w:i/>
          <w:color w:val="000000"/>
          <w:lang w:val="id-ID"/>
        </w:rPr>
        <w:t xml:space="preserve">transfer </w:t>
      </w:r>
      <w:proofErr w:type="spellStart"/>
      <w:r w:rsidRPr="00A50E7E">
        <w:rPr>
          <w:i/>
          <w:color w:val="000000"/>
          <w:lang w:val="id-ID"/>
        </w:rPr>
        <w:t>pricing</w:t>
      </w:r>
      <w:proofErr w:type="spellEnd"/>
      <w:r w:rsidRPr="00A50E7E">
        <w:rPr>
          <w:i/>
          <w:color w:val="000000"/>
          <w:lang w:val="id-ID"/>
        </w:rPr>
        <w:t xml:space="preserve"> </w:t>
      </w:r>
      <w:r w:rsidRPr="00A50E7E">
        <w:rPr>
          <w:color w:val="000000"/>
          <w:lang w:val="id-ID"/>
        </w:rPr>
        <w:t xml:space="preserve">antar </w:t>
      </w:r>
      <w:r w:rsidRPr="00A50E7E">
        <w:rPr>
          <w:i/>
          <w:color w:val="000000"/>
          <w:lang w:val="id-ID"/>
        </w:rPr>
        <w:t xml:space="preserve">entitas </w:t>
      </w:r>
      <w:r w:rsidRPr="00A50E7E">
        <w:rPr>
          <w:color w:val="000000"/>
          <w:lang w:val="id-ID"/>
        </w:rPr>
        <w:t>anak perusahaan, pengaturan waktu pengakuan pendapatan dan biaya, serta memanfaatkan celah hukum dalam standar akuntansi pajak dan regulasi perpajakan.</w:t>
      </w:r>
    </w:p>
    <w:p w14:paraId="27BF7918" w14:textId="15337839" w:rsidR="00E634F5" w:rsidRPr="00A50E7E" w:rsidRDefault="00E634F5" w:rsidP="005527F9">
      <w:pPr>
        <w:spacing w:before="120" w:after="120"/>
        <w:rPr>
          <w:color w:val="000000"/>
          <w:lang w:val="id-ID"/>
        </w:rPr>
      </w:pPr>
      <w:r w:rsidRPr="00A50E7E">
        <w:rPr>
          <w:color w:val="000000"/>
          <w:lang w:val="id-ID"/>
        </w:rPr>
        <w:t xml:space="preserve">Selanjutnya, dalam konteks akuntansi keuangan, perusahaan besar cenderung memiliki departemen keuangan dan pajak yang lebih terstruktur, serta menggunakan jasa konsultan pajak eksternal untuk menyusun strategi penghindaran pajak yang legal dan efisien. Hal ini menjadikan perusahaan besar lebih siap dalam menavigasi aturan perpajakan dan memanfaatkan ketentuan fiskal yang dapat mengurangi beban pajak, seperti insentif pajak untuk sektor tertentu, perlakuan depresiasi, dan pengakuan kerugian fiskal.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dan </w:t>
      </w:r>
      <w:r w:rsidRPr="00A50E7E">
        <w:rPr>
          <w:i/>
          <w:color w:val="000000"/>
          <w:lang w:val="id-ID"/>
        </w:rPr>
        <w:t xml:space="preserve">real </w:t>
      </w:r>
      <w:proofErr w:type="spellStart"/>
      <w:r w:rsidRPr="00A50E7E">
        <w:rPr>
          <w:i/>
          <w:color w:val="000000"/>
          <w:lang w:val="id-ID"/>
        </w:rPr>
        <w:t>estate</w:t>
      </w:r>
      <w:proofErr w:type="spellEnd"/>
      <w:r w:rsidRPr="00A50E7E">
        <w:rPr>
          <w:i/>
          <w:color w:val="000000"/>
          <w:lang w:val="id-ID"/>
        </w:rPr>
        <w:t xml:space="preserve"> </w:t>
      </w:r>
      <w:r w:rsidRPr="00A50E7E">
        <w:rPr>
          <w:color w:val="000000"/>
          <w:lang w:val="id-ID"/>
        </w:rPr>
        <w:t xml:space="preserve">merupakan sektor yang sarat dengan nilai aset besar dan periode pembangunan jangka panjang. Dalam hal ini, perusahaan besar sering kali memiliki fleksibilitas untuk mengatur pengakuan biaya dan pendapatan secara </w:t>
      </w:r>
      <w:r w:rsidR="00716970" w:rsidRPr="00A50E7E">
        <w:rPr>
          <w:color w:val="000000"/>
          <w:lang w:val="id-ID"/>
        </w:rPr>
        <w:t>aktual</w:t>
      </w:r>
      <w:r w:rsidRPr="00A50E7E">
        <w:rPr>
          <w:color w:val="000000"/>
          <w:lang w:val="id-ID"/>
        </w:rPr>
        <w:t xml:space="preserve"> demi tujuan efisiensi pajak. Contohnya, dalam standar akuntansi, pengakuan pendapatan atas proyek konstruksi bisa dilakukan dengan metode persentase penyelesaian, yang jika dimanfaatkan dengan tepat dapat menjadi alat manajemen penghasilan dan pajak.</w:t>
      </w:r>
    </w:p>
    <w:p w14:paraId="77954BC2" w14:textId="77777777" w:rsidR="00E634F5" w:rsidRPr="00A50E7E" w:rsidRDefault="00E634F5" w:rsidP="005527F9">
      <w:pPr>
        <w:spacing w:before="120" w:after="120"/>
        <w:rPr>
          <w:color w:val="000000"/>
          <w:lang w:val="id-ID"/>
        </w:rPr>
      </w:pPr>
      <w:r w:rsidRPr="00A50E7E">
        <w:rPr>
          <w:color w:val="000000"/>
          <w:lang w:val="id-ID"/>
        </w:rPr>
        <w:t xml:space="preserve">Fenomena ini juga berkaitan dengan indikator </w:t>
      </w:r>
      <w:proofErr w:type="spellStart"/>
      <w:r w:rsidRPr="00A50E7E">
        <w:rPr>
          <w:i/>
          <w:color w:val="000000"/>
          <w:lang w:val="id-ID"/>
        </w:rPr>
        <w:t>Effective</w:t>
      </w:r>
      <w:proofErr w:type="spellEnd"/>
      <w:r w:rsidRPr="00A50E7E">
        <w:rPr>
          <w:i/>
          <w:color w:val="000000"/>
          <w:lang w:val="id-ID"/>
        </w:rPr>
        <w:t xml:space="preserve"> </w:t>
      </w:r>
      <w:proofErr w:type="spellStart"/>
      <w:r w:rsidRPr="00A50E7E">
        <w:rPr>
          <w:i/>
          <w:color w:val="000000"/>
          <w:lang w:val="id-ID"/>
        </w:rPr>
        <w:t>Tax</w:t>
      </w:r>
      <w:proofErr w:type="spellEnd"/>
      <w:r w:rsidRPr="00A50E7E">
        <w:rPr>
          <w:i/>
          <w:color w:val="000000"/>
          <w:lang w:val="id-ID"/>
        </w:rPr>
        <w:t xml:space="preserve"> Rate (ETR) </w:t>
      </w:r>
      <w:r w:rsidRPr="00A50E7E">
        <w:rPr>
          <w:color w:val="000000"/>
          <w:lang w:val="id-ID"/>
        </w:rPr>
        <w:t xml:space="preserve">yang lebih rendah pada perusahaan </w:t>
      </w:r>
      <w:r w:rsidRPr="00A50E7E">
        <w:rPr>
          <w:color w:val="000000"/>
          <w:lang w:val="id-ID"/>
        </w:rPr>
        <w:t xml:space="preserve">besar dibandingkan perusahaan kecil. Meskipun secara </w:t>
      </w:r>
      <w:r w:rsidRPr="00A50E7E">
        <w:rPr>
          <w:i/>
          <w:color w:val="000000"/>
          <w:lang w:val="id-ID"/>
        </w:rPr>
        <w:t xml:space="preserve">absolut </w:t>
      </w:r>
      <w:r w:rsidRPr="00A50E7E">
        <w:rPr>
          <w:color w:val="000000"/>
          <w:lang w:val="id-ID"/>
        </w:rPr>
        <w:t xml:space="preserve">membayar pajak lebih besar, secara proporsional terhadap laba, beban pajak perusahaan besar lebih rendah karena perencanaan pajak yang efisien. Dalam ilmu akuntansi, hal ini menjadi indikator bahwa praktik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lebih dominan dilakukan oleh entitas dengan skala besar, yang memiliki </w:t>
      </w:r>
      <w:proofErr w:type="spellStart"/>
      <w:r w:rsidRPr="00A50E7E">
        <w:rPr>
          <w:i/>
          <w:color w:val="000000"/>
          <w:lang w:val="id-ID"/>
        </w:rPr>
        <w:t>leverage</w:t>
      </w:r>
      <w:proofErr w:type="spellEnd"/>
      <w:r w:rsidRPr="00A50E7E">
        <w:rPr>
          <w:i/>
          <w:color w:val="000000"/>
          <w:lang w:val="id-ID"/>
        </w:rPr>
        <w:t xml:space="preserve"> </w:t>
      </w:r>
      <w:r w:rsidRPr="00A50E7E">
        <w:rPr>
          <w:color w:val="000000"/>
          <w:lang w:val="id-ID"/>
        </w:rPr>
        <w:t>akuntansi dan hukum lebih tinggi.</w:t>
      </w:r>
    </w:p>
    <w:p w14:paraId="35883A9A" w14:textId="77777777" w:rsidR="00E634F5" w:rsidRPr="00A50E7E" w:rsidRDefault="00E634F5" w:rsidP="005527F9">
      <w:pPr>
        <w:spacing w:before="120" w:after="120"/>
        <w:rPr>
          <w:color w:val="000000"/>
          <w:lang w:val="id-ID"/>
        </w:rPr>
      </w:pPr>
      <w:r w:rsidRPr="00A50E7E">
        <w:rPr>
          <w:color w:val="000000"/>
          <w:lang w:val="id-ID"/>
        </w:rPr>
        <w:t xml:space="preserve">Kesimpulannya, hasil penelitian ini memperkuat pemahaman bahwa ukuran perusahaan berperan penting dalam menentukan perilaku penghindaran pajak. Perusahaan besar di sektor </w:t>
      </w:r>
      <w:proofErr w:type="spellStart"/>
      <w:r w:rsidRPr="00A50E7E">
        <w:rPr>
          <w:i/>
          <w:color w:val="000000"/>
          <w:lang w:val="id-ID"/>
        </w:rPr>
        <w:t>property</w:t>
      </w:r>
      <w:proofErr w:type="spellEnd"/>
      <w:r w:rsidRPr="00A50E7E">
        <w:rPr>
          <w:i/>
          <w:color w:val="000000"/>
          <w:lang w:val="id-ID"/>
        </w:rPr>
        <w:t xml:space="preserve"> real &amp; </w:t>
      </w:r>
      <w:proofErr w:type="spellStart"/>
      <w:r w:rsidRPr="00A50E7E">
        <w:rPr>
          <w:i/>
          <w:color w:val="000000"/>
          <w:lang w:val="id-ID"/>
        </w:rPr>
        <w:t>estate</w:t>
      </w:r>
      <w:proofErr w:type="spellEnd"/>
      <w:r w:rsidRPr="00A50E7E">
        <w:rPr>
          <w:i/>
          <w:color w:val="000000"/>
          <w:lang w:val="id-ID"/>
        </w:rPr>
        <w:t xml:space="preserve"> </w:t>
      </w:r>
      <w:r w:rsidRPr="00A50E7E">
        <w:rPr>
          <w:color w:val="000000"/>
          <w:lang w:val="id-ID"/>
        </w:rPr>
        <w:t xml:space="preserve">yang terdaftar di BEI memiliki sumber daya, informasi, dan kapabilitas akuntansi yang mendorong mereka melakukan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secara strategis dan legal. Dalam perspektif akuntansi, hal ini menunjukkan bahwa ukuran perusahaan merupakan salah satu determinan penting dalam analisis agresivitas pajak, yang berdampak pada kualitas laporan keuangan, pengambilan keputusan investor, serta efektivitas kebijakan fiskal negara.</w:t>
      </w:r>
    </w:p>
    <w:p w14:paraId="463CF9CA" w14:textId="21AE11A3" w:rsidR="00E634F5" w:rsidRPr="00A50E7E" w:rsidRDefault="00E634F5" w:rsidP="005527F9">
      <w:pPr>
        <w:spacing w:before="120" w:after="120"/>
        <w:rPr>
          <w:color w:val="000000"/>
          <w:lang w:val="id-ID"/>
        </w:rPr>
      </w:pPr>
      <w:r w:rsidRPr="00A50E7E">
        <w:rPr>
          <w:color w:val="000000"/>
          <w:lang w:val="id-ID"/>
        </w:rPr>
        <w:t xml:space="preserve">Teori akuntansi yang dapat menjelaskan hasil penelitian tersebut adalah </w:t>
      </w:r>
      <w:proofErr w:type="spellStart"/>
      <w:r w:rsidRPr="00A50E7E">
        <w:rPr>
          <w:i/>
          <w:color w:val="000000"/>
          <w:lang w:val="id-ID"/>
        </w:rPr>
        <w:t>Political</w:t>
      </w:r>
      <w:proofErr w:type="spellEnd"/>
      <w:r w:rsidRPr="00A50E7E">
        <w:rPr>
          <w:i/>
          <w:color w:val="000000"/>
          <w:lang w:val="id-ID"/>
        </w:rPr>
        <w:t xml:space="preserve"> </w:t>
      </w:r>
      <w:proofErr w:type="spellStart"/>
      <w:r w:rsidRPr="00A50E7E">
        <w:rPr>
          <w:i/>
          <w:color w:val="000000"/>
          <w:lang w:val="id-ID"/>
        </w:rPr>
        <w:t>Cost</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Pr="00A50E7E">
        <w:rPr>
          <w:color w:val="000000"/>
          <w:lang w:val="id-ID"/>
        </w:rPr>
        <w:t xml:space="preserve">yang merupakan bagian dari teori keagenan dan dikembangkan dalam kerangka </w:t>
      </w:r>
      <w:proofErr w:type="spellStart"/>
      <w:r w:rsidRPr="00A50E7E">
        <w:rPr>
          <w:i/>
          <w:color w:val="000000"/>
          <w:lang w:val="id-ID"/>
        </w:rPr>
        <w:t>Positive</w:t>
      </w:r>
      <w:proofErr w:type="spellEnd"/>
      <w:r w:rsidRPr="00A50E7E">
        <w:rPr>
          <w:i/>
          <w:color w:val="000000"/>
          <w:lang w:val="id-ID"/>
        </w:rPr>
        <w:t xml:space="preserve"> </w:t>
      </w:r>
      <w:proofErr w:type="spellStart"/>
      <w:r w:rsidRPr="00A50E7E">
        <w:rPr>
          <w:i/>
          <w:color w:val="000000"/>
          <w:lang w:val="id-ID"/>
        </w:rPr>
        <w:t>Accounting</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007C665C" w:rsidRPr="00A50E7E">
        <w:rPr>
          <w:color w:val="000000"/>
          <w:lang w:val="id-ID"/>
        </w:rPr>
        <w:fldChar w:fldCharType="begin" w:fldLock="1"/>
      </w:r>
      <w:r w:rsidR="007C665C" w:rsidRPr="00A50E7E">
        <w:rPr>
          <w:color w:val="000000"/>
          <w:lang w:val="id-ID"/>
        </w:rPr>
        <w:instrText>ADDIN CSL_CITATION {"citationItems":[{"id":"ITEM-1","itemData":{"author":[{"dropping-particle":"","family":"Watts","given":"R. L.","non-dropping-particle":"","parse-names":false,"suffix":""},{"dropping-particle":"","family":"Zimmerman","given":"J. L.","non-dropping-particle":"","parse-names":false,"suffix":""}],"id":"ITEM-1","issued":{"date-parts":[["1978"]]},"title":"Towards a Positive Theory of The Determination of Accounting Standard, Accounting Review","type":"book"},"uris":["http://www.mendeley.com/documents/?uuid=8fc8b87f-3047-4671-9b11-ee79a01ce1a9"]}],"mendeley":{"formattedCitation":"[17]","plainTextFormattedCitation":"[17]","previouslyFormattedCitation":"(Watts &amp; Zimmerman, 1978)"},"properties":{"noteIndex":0},"schema":"https://github.com/citation-style-language/schema/raw/master/csl-citation.json"}</w:instrText>
      </w:r>
      <w:r w:rsidR="007C665C" w:rsidRPr="00A50E7E">
        <w:rPr>
          <w:color w:val="000000"/>
          <w:lang w:val="id-ID"/>
        </w:rPr>
        <w:fldChar w:fldCharType="separate"/>
      </w:r>
      <w:r w:rsidR="007C665C" w:rsidRPr="00A50E7E">
        <w:rPr>
          <w:color w:val="000000"/>
          <w:lang w:val="id-ID"/>
        </w:rPr>
        <w:t>[</w:t>
      </w:r>
      <w:hyperlink w:anchor="a17" w:history="1">
        <w:r w:rsidR="007C665C" w:rsidRPr="00A50E7E">
          <w:rPr>
            <w:rStyle w:val="Hyperlink"/>
            <w:u w:val="none"/>
            <w:lang w:val="id-ID"/>
          </w:rPr>
          <w:t>17</w:t>
        </w:r>
      </w:hyperlink>
      <w:r w:rsidR="007C665C" w:rsidRPr="00A50E7E">
        <w:rPr>
          <w:color w:val="000000"/>
          <w:lang w:val="id-ID"/>
        </w:rPr>
        <w:t>]</w:t>
      </w:r>
      <w:r w:rsidR="007C665C" w:rsidRPr="00A50E7E">
        <w:rPr>
          <w:color w:val="000000"/>
          <w:lang w:val="id-ID"/>
        </w:rPr>
        <w:fldChar w:fldCharType="end"/>
      </w:r>
      <w:r w:rsidR="00003197" w:rsidRPr="00A50E7E">
        <w:rPr>
          <w:color w:val="000000"/>
          <w:lang w:val="id-ID"/>
        </w:rPr>
        <w:t xml:space="preserve">. </w:t>
      </w:r>
      <w:r w:rsidRPr="00A50E7E">
        <w:rPr>
          <w:color w:val="000000"/>
          <w:lang w:val="id-ID"/>
        </w:rPr>
        <w:t xml:space="preserve">Teori ini menyatakan bahwa perusahaan besar cenderung menghadapi </w:t>
      </w:r>
      <w:proofErr w:type="spellStart"/>
      <w:r w:rsidRPr="00A50E7E">
        <w:rPr>
          <w:i/>
          <w:color w:val="000000"/>
          <w:lang w:val="id-ID"/>
        </w:rPr>
        <w:t>political</w:t>
      </w:r>
      <w:proofErr w:type="spellEnd"/>
      <w:r w:rsidRPr="00A50E7E">
        <w:rPr>
          <w:i/>
          <w:color w:val="000000"/>
          <w:lang w:val="id-ID"/>
        </w:rPr>
        <w:t xml:space="preserve"> </w:t>
      </w:r>
      <w:proofErr w:type="spellStart"/>
      <w:r w:rsidRPr="00A50E7E">
        <w:rPr>
          <w:i/>
          <w:color w:val="000000"/>
          <w:lang w:val="id-ID"/>
        </w:rPr>
        <w:t>cost</w:t>
      </w:r>
      <w:proofErr w:type="spellEnd"/>
      <w:r w:rsidRPr="00A50E7E">
        <w:rPr>
          <w:i/>
          <w:color w:val="000000"/>
          <w:lang w:val="id-ID"/>
        </w:rPr>
        <w:t xml:space="preserve"> </w:t>
      </w:r>
      <w:r w:rsidRPr="00A50E7E">
        <w:rPr>
          <w:color w:val="000000"/>
          <w:lang w:val="id-ID"/>
        </w:rPr>
        <w:t>atau biaya politik yang lebih tinggi karena eksistensinya yang signifikan di masyarakat dan perekonomian. Biaya politik ini dapat berupa tekanan dari regulator, masyarakat, hingga pembuat kebijakan, yang mengharapkan perusahaan besar untuk memberikan kontribusi lebih besar, termasuk dalam bentuk pembayaran pajak.</w:t>
      </w:r>
    </w:p>
    <w:p w14:paraId="3B0DFEBA" w14:textId="77777777" w:rsidR="00D76F4D" w:rsidRPr="00A50E7E" w:rsidRDefault="00E634F5" w:rsidP="005527F9">
      <w:pPr>
        <w:spacing w:before="120" w:after="120"/>
        <w:rPr>
          <w:color w:val="000000"/>
          <w:lang w:val="id-ID"/>
        </w:rPr>
      </w:pPr>
      <w:r w:rsidRPr="00A50E7E">
        <w:rPr>
          <w:color w:val="000000"/>
          <w:lang w:val="id-ID"/>
        </w:rPr>
        <w:t xml:space="preserve">Perusahaan besar di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memiliki insentif untuk meminimalkan </w:t>
      </w:r>
      <w:proofErr w:type="spellStart"/>
      <w:r w:rsidRPr="00A50E7E">
        <w:rPr>
          <w:i/>
          <w:color w:val="000000"/>
          <w:lang w:val="id-ID"/>
        </w:rPr>
        <w:t>political</w:t>
      </w:r>
      <w:proofErr w:type="spellEnd"/>
      <w:r w:rsidRPr="00A50E7E">
        <w:rPr>
          <w:i/>
          <w:color w:val="000000"/>
          <w:lang w:val="id-ID"/>
        </w:rPr>
        <w:t xml:space="preserve"> </w:t>
      </w:r>
      <w:proofErr w:type="spellStart"/>
      <w:r w:rsidRPr="00A50E7E">
        <w:rPr>
          <w:i/>
          <w:color w:val="000000"/>
          <w:lang w:val="id-ID"/>
        </w:rPr>
        <w:t>cost</w:t>
      </w:r>
      <w:proofErr w:type="spellEnd"/>
      <w:r w:rsidRPr="00A50E7E">
        <w:rPr>
          <w:i/>
          <w:color w:val="000000"/>
          <w:lang w:val="id-ID"/>
        </w:rPr>
        <w:t xml:space="preserve"> </w:t>
      </w:r>
      <w:r w:rsidRPr="00A50E7E">
        <w:rPr>
          <w:color w:val="000000"/>
          <w:lang w:val="id-ID"/>
        </w:rPr>
        <w:t xml:space="preserve">tersebut melalui strategi penghindaran pajak yang legal. Ukuran perusahaan yang besar memberi keleluasaan dari sisi sumber daya manusia, finansial, hingga akses terhadap konsultan dan penasihat hukum untuk menyusun skema penghematan pajak tanpa melanggar aturan. Dengan kata lain, meskipun mereka berada dalam sorotan publik dan regulator, perusahaan besar memiliki kemampuan lebih tinggi untuk menyembunyikan atau merekayasa beban pajak secara legal melalui kompleksitas transaksi dan pelaporan akuntansi yang sulit ditelusuri secara langsung oleh otoritas pajak atau masyarakat umum. </w:t>
      </w:r>
    </w:p>
    <w:p w14:paraId="2C479E0A" w14:textId="73962FC2" w:rsidR="00E634F5" w:rsidRPr="00A50E7E" w:rsidRDefault="00E634F5" w:rsidP="005527F9">
      <w:pPr>
        <w:spacing w:before="120" w:after="120"/>
        <w:rPr>
          <w:color w:val="000000"/>
          <w:lang w:val="id-ID"/>
        </w:rPr>
      </w:pPr>
      <w:proofErr w:type="spellStart"/>
      <w:r w:rsidRPr="00A50E7E">
        <w:rPr>
          <w:i/>
          <w:color w:val="000000"/>
          <w:lang w:val="id-ID"/>
        </w:rPr>
        <w:t>Political</w:t>
      </w:r>
      <w:proofErr w:type="spellEnd"/>
      <w:r w:rsidRPr="00A50E7E">
        <w:rPr>
          <w:i/>
          <w:color w:val="000000"/>
          <w:lang w:val="id-ID"/>
        </w:rPr>
        <w:t xml:space="preserve"> </w:t>
      </w:r>
      <w:proofErr w:type="spellStart"/>
      <w:r w:rsidRPr="00A50E7E">
        <w:rPr>
          <w:i/>
          <w:color w:val="000000"/>
          <w:lang w:val="id-ID"/>
        </w:rPr>
        <w:t>Cost</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Pr="00A50E7E">
        <w:rPr>
          <w:color w:val="000000"/>
          <w:lang w:val="id-ID"/>
        </w:rPr>
        <w:t xml:space="preserve">juga menjelaskan bahwa perusahaan besar akan lebih berhati-hati dalam menampilkan kinerja laba yang terlalu tinggi karena dapat mengundang perhatian pemerintah untuk mengenakan tarif pajak lebih besar atau mengurangi subsidi. Oleh karena itu,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Pr="00A50E7E">
        <w:rPr>
          <w:i/>
          <w:color w:val="000000"/>
          <w:lang w:val="id-ID"/>
        </w:rPr>
        <w:t xml:space="preserve"> </w:t>
      </w:r>
      <w:r w:rsidRPr="00A50E7E">
        <w:rPr>
          <w:color w:val="000000"/>
          <w:lang w:val="id-ID"/>
        </w:rPr>
        <w:t xml:space="preserve">menjadi salah satu alat strategis untuk mengurangi laba kena pajak dan menghindari </w:t>
      </w:r>
      <w:r w:rsidRPr="00A50E7E">
        <w:rPr>
          <w:i/>
          <w:color w:val="000000"/>
          <w:lang w:val="id-ID"/>
        </w:rPr>
        <w:t xml:space="preserve">eksposur </w:t>
      </w:r>
      <w:r w:rsidRPr="00A50E7E">
        <w:rPr>
          <w:color w:val="000000"/>
          <w:lang w:val="id-ID"/>
        </w:rPr>
        <w:t xml:space="preserve">politik dan ekonomi yang merugikan. Temuan ini selaras dengan fenomena dalam sektor </w:t>
      </w:r>
      <w:proofErr w:type="spellStart"/>
      <w:r w:rsidRPr="00A50E7E">
        <w:rPr>
          <w:i/>
          <w:color w:val="000000"/>
          <w:lang w:val="id-ID"/>
        </w:rPr>
        <w:t>property</w:t>
      </w:r>
      <w:proofErr w:type="spellEnd"/>
      <w:r w:rsidRPr="00A50E7E">
        <w:rPr>
          <w:i/>
          <w:color w:val="000000"/>
          <w:lang w:val="id-ID"/>
        </w:rPr>
        <w:t xml:space="preserve"> </w:t>
      </w:r>
      <w:r w:rsidRPr="00A50E7E">
        <w:rPr>
          <w:color w:val="000000"/>
          <w:lang w:val="id-ID"/>
        </w:rPr>
        <w:t xml:space="preserve">dan </w:t>
      </w:r>
      <w:r w:rsidRPr="00A50E7E">
        <w:rPr>
          <w:i/>
          <w:color w:val="000000"/>
          <w:lang w:val="id-ID"/>
        </w:rPr>
        <w:t xml:space="preserve">real </w:t>
      </w:r>
      <w:proofErr w:type="spellStart"/>
      <w:r w:rsidRPr="00A50E7E">
        <w:rPr>
          <w:i/>
          <w:color w:val="000000"/>
          <w:lang w:val="id-ID"/>
        </w:rPr>
        <w:t>estate</w:t>
      </w:r>
      <w:proofErr w:type="spellEnd"/>
      <w:r w:rsidRPr="00A50E7E">
        <w:rPr>
          <w:color w:val="000000"/>
          <w:lang w:val="id-ID"/>
        </w:rPr>
        <w:t xml:space="preserve">, di mana perusahaan besar cenderung menggunakan metode pengakuan </w:t>
      </w:r>
      <w:r w:rsidRPr="00A50E7E">
        <w:rPr>
          <w:color w:val="000000"/>
          <w:lang w:val="id-ID"/>
        </w:rPr>
        <w:lastRenderedPageBreak/>
        <w:t xml:space="preserve">pendapatan yang fleksibel dan optimalisasi regulasi fiskal sebagai bagian dari efisiensi beban pajak. Maka dari itu, </w:t>
      </w:r>
      <w:proofErr w:type="spellStart"/>
      <w:r w:rsidRPr="00A50E7E">
        <w:rPr>
          <w:i/>
          <w:color w:val="000000"/>
          <w:lang w:val="id-ID"/>
        </w:rPr>
        <w:t>Political</w:t>
      </w:r>
      <w:proofErr w:type="spellEnd"/>
      <w:r w:rsidRPr="00A50E7E">
        <w:rPr>
          <w:i/>
          <w:color w:val="000000"/>
          <w:lang w:val="id-ID"/>
        </w:rPr>
        <w:t xml:space="preserve"> </w:t>
      </w:r>
      <w:proofErr w:type="spellStart"/>
      <w:r w:rsidRPr="00A50E7E">
        <w:rPr>
          <w:i/>
          <w:color w:val="000000"/>
          <w:lang w:val="id-ID"/>
        </w:rPr>
        <w:t>Cost</w:t>
      </w:r>
      <w:proofErr w:type="spellEnd"/>
      <w:r w:rsidRPr="00A50E7E">
        <w:rPr>
          <w:i/>
          <w:color w:val="000000"/>
          <w:lang w:val="id-ID"/>
        </w:rPr>
        <w:t xml:space="preserve"> </w:t>
      </w:r>
      <w:proofErr w:type="spellStart"/>
      <w:r w:rsidRPr="00A50E7E">
        <w:rPr>
          <w:i/>
          <w:color w:val="000000"/>
          <w:lang w:val="id-ID"/>
        </w:rPr>
        <w:t>Theory</w:t>
      </w:r>
      <w:proofErr w:type="spellEnd"/>
      <w:r w:rsidRPr="00A50E7E">
        <w:rPr>
          <w:i/>
          <w:color w:val="000000"/>
          <w:lang w:val="id-ID"/>
        </w:rPr>
        <w:t xml:space="preserve"> </w:t>
      </w:r>
      <w:r w:rsidRPr="00A50E7E">
        <w:rPr>
          <w:color w:val="000000"/>
          <w:lang w:val="id-ID"/>
        </w:rPr>
        <w:t>menjadi kerangka yang relevan dalam menjelaskan mengapa dan bagaimana perusahaan besar lebih aktif dalam praktik penghindaran pajak. Hasil penelitian ini sejalan dengan penelitian yang dilakukan oleh</w:t>
      </w:r>
      <w:r w:rsidR="007C114D" w:rsidRPr="00A50E7E">
        <w:rPr>
          <w:color w:val="000000"/>
        </w:rPr>
        <w:t xml:space="preserve"> </w:t>
      </w:r>
      <w:proofErr w:type="spellStart"/>
      <w:r w:rsidR="007C114D" w:rsidRPr="00A50E7E">
        <w:rPr>
          <w:color w:val="000000"/>
        </w:rPr>
        <w:t>peneliti</w:t>
      </w:r>
      <w:proofErr w:type="spellEnd"/>
      <w:r w:rsidR="007C114D" w:rsidRPr="00A50E7E">
        <w:rPr>
          <w:color w:val="000000"/>
        </w:rPr>
        <w:t xml:space="preserve"> </w:t>
      </w:r>
      <w:proofErr w:type="spellStart"/>
      <w:r w:rsidR="007C114D" w:rsidRPr="00A50E7E">
        <w:rPr>
          <w:color w:val="000000"/>
        </w:rPr>
        <w:t>berbeda</w:t>
      </w:r>
      <w:proofErr w:type="spellEnd"/>
      <w:r w:rsidRPr="00A50E7E">
        <w:rPr>
          <w:color w:val="000000"/>
          <w:lang w:val="id-ID"/>
        </w:rPr>
        <w:t xml:space="preserve">, </w:t>
      </w:r>
      <w:proofErr w:type="spellStart"/>
      <w:r w:rsidRPr="00A50E7E">
        <w:rPr>
          <w:color w:val="000000"/>
          <w:lang w:val="id-ID"/>
        </w:rPr>
        <w:t>dimana</w:t>
      </w:r>
      <w:proofErr w:type="spellEnd"/>
      <w:r w:rsidRPr="00A50E7E">
        <w:rPr>
          <w:color w:val="000000"/>
          <w:lang w:val="id-ID"/>
        </w:rPr>
        <w:t xml:space="preserve"> menunjukkan bahwa ukuran perusahaan berpengaruh positif dan signifikan terhadap </w:t>
      </w:r>
      <w:proofErr w:type="spellStart"/>
      <w:r w:rsidRPr="00A50E7E">
        <w:rPr>
          <w:i/>
          <w:color w:val="000000"/>
          <w:lang w:val="id-ID"/>
        </w:rPr>
        <w:t>tax</w:t>
      </w:r>
      <w:proofErr w:type="spellEnd"/>
      <w:r w:rsidRPr="00A50E7E">
        <w:rPr>
          <w:i/>
          <w:color w:val="000000"/>
          <w:lang w:val="id-ID"/>
        </w:rPr>
        <w:t xml:space="preserve"> </w:t>
      </w:r>
      <w:proofErr w:type="spellStart"/>
      <w:r w:rsidRPr="00A50E7E">
        <w:rPr>
          <w:i/>
          <w:color w:val="000000"/>
          <w:lang w:val="id-ID"/>
        </w:rPr>
        <w:t>avoidance</w:t>
      </w:r>
      <w:proofErr w:type="spellEnd"/>
      <w:r w:rsidR="007C114D" w:rsidRPr="00A50E7E">
        <w:rPr>
          <w:i/>
          <w:color w:val="000000"/>
        </w:rPr>
        <w:t xml:space="preserve"> </w:t>
      </w:r>
      <w:r w:rsidR="007C114D" w:rsidRPr="00A50E7E">
        <w:rPr>
          <w:color w:val="000000"/>
          <w:lang w:val="id-ID"/>
        </w:rPr>
        <w:fldChar w:fldCharType="begin" w:fldLock="1"/>
      </w:r>
      <w:r w:rsidR="007C114D" w:rsidRPr="00A50E7E">
        <w:rPr>
          <w:color w:val="000000"/>
          <w:lang w:val="id-ID"/>
        </w:rPr>
        <w:instrText>ADDIN CSL_CITATION {"citationItems":[{"id":"ITEM-1","itemData":{"author":[{"dropping-particle":"","family":"Arta","given":"R. J.","non-dropping-particle":"","parse-names":false,"suffix":""},{"dropping-particle":"","family":"Zulaikha","given":"Z.","non-dropping-particle":"","parse-names":false,"suffix":""}],"container-title":"Diponegoro Journal of Accounting","id":"ITEM-1","issue":"3","issued":{"date-parts":[["2023"]]},"title":"PENGARUH CSR, LIKUIDITAS, PROFITABILITAS, DAN UKURAN PERUSAHAAN TERHADAP PENGHINDARAN PAJAK","type":"article-journal","volume":"12"},"uris":["http://www.mendeley.com/documents/?uuid=63231f67-b8e9-41a4-833c-6c721ad244d6"]}],"mendeley":{"formattedCitation":"[18]","plainTextFormattedCitation":"[18]","previouslyFormattedCitation":"(Arta &amp; Zulaikha, 2023)"},"properties":{"noteIndex":0},"schema":"https://github.com/citation-style-language/schema/raw/master/csl-citation.json"}</w:instrText>
      </w:r>
      <w:r w:rsidR="007C114D" w:rsidRPr="00A50E7E">
        <w:rPr>
          <w:color w:val="000000"/>
          <w:lang w:val="id-ID"/>
        </w:rPr>
        <w:fldChar w:fldCharType="separate"/>
      </w:r>
      <w:r w:rsidR="007C114D" w:rsidRPr="00A50E7E">
        <w:rPr>
          <w:color w:val="000000"/>
          <w:lang w:val="id-ID"/>
        </w:rPr>
        <w:t>[</w:t>
      </w:r>
      <w:hyperlink w:anchor="a18" w:history="1">
        <w:r w:rsidR="007C114D" w:rsidRPr="00A50E7E">
          <w:rPr>
            <w:rStyle w:val="Hyperlink"/>
            <w:u w:val="none"/>
            <w:lang w:val="id-ID"/>
          </w:rPr>
          <w:t>18</w:t>
        </w:r>
      </w:hyperlink>
      <w:r w:rsidR="007C114D" w:rsidRPr="00A50E7E">
        <w:rPr>
          <w:color w:val="000000"/>
          <w:lang w:val="id-ID"/>
        </w:rPr>
        <w:t>]</w:t>
      </w:r>
      <w:r w:rsidR="007C114D" w:rsidRPr="00A50E7E">
        <w:rPr>
          <w:color w:val="000000"/>
          <w:lang w:val="id-ID"/>
        </w:rPr>
        <w:fldChar w:fldCharType="end"/>
      </w:r>
      <w:r w:rsidRPr="00A50E7E">
        <w:rPr>
          <w:color w:val="000000"/>
          <w:lang w:val="id-ID"/>
        </w:rPr>
        <w:t>.</w:t>
      </w:r>
    </w:p>
    <w:p w14:paraId="5286AF70" w14:textId="77777777" w:rsidR="00272545" w:rsidRPr="002275AF" w:rsidRDefault="00272545" w:rsidP="005527F9">
      <w:pPr>
        <w:pStyle w:val="Heading1"/>
        <w:numPr>
          <w:ilvl w:val="0"/>
          <w:numId w:val="1"/>
        </w:numPr>
        <w:spacing w:before="120"/>
        <w:ind w:left="284" w:hanging="284"/>
        <w:rPr>
          <w:lang w:val="id-ID"/>
        </w:rPr>
      </w:pPr>
      <w:r w:rsidRPr="002275AF">
        <w:rPr>
          <w:lang w:val="id-ID"/>
        </w:rPr>
        <w:t>Kesimpulan</w:t>
      </w:r>
    </w:p>
    <w:p w14:paraId="1405324F" w14:textId="79500ED7" w:rsidR="00E634F5" w:rsidRPr="002275AF" w:rsidRDefault="001C284F" w:rsidP="005527F9">
      <w:pPr>
        <w:spacing w:before="120" w:after="120"/>
        <w:rPr>
          <w:color w:val="000000"/>
          <w:szCs w:val="20"/>
          <w:lang w:val="id-ID"/>
        </w:rPr>
      </w:pPr>
      <w:r w:rsidRPr="002275AF">
        <w:rPr>
          <w:color w:val="000000"/>
          <w:szCs w:val="20"/>
          <w:lang w:val="id-ID"/>
        </w:rPr>
        <w:t xml:space="preserve">Penelitian pada perusahaan properti dan </w:t>
      </w:r>
      <w:r w:rsidRPr="00620822">
        <w:rPr>
          <w:i/>
          <w:iCs/>
          <w:color w:val="000000"/>
          <w:szCs w:val="20"/>
          <w:lang w:val="id-ID"/>
        </w:rPr>
        <w:t xml:space="preserve">real </w:t>
      </w:r>
      <w:proofErr w:type="spellStart"/>
      <w:r w:rsidRPr="00620822">
        <w:rPr>
          <w:i/>
          <w:iCs/>
          <w:color w:val="000000"/>
          <w:szCs w:val="20"/>
          <w:lang w:val="id-ID"/>
        </w:rPr>
        <w:t>estate</w:t>
      </w:r>
      <w:proofErr w:type="spellEnd"/>
      <w:r w:rsidRPr="002275AF">
        <w:rPr>
          <w:color w:val="000000"/>
          <w:szCs w:val="20"/>
          <w:lang w:val="id-ID"/>
        </w:rPr>
        <w:t xml:space="preserve"> di BEI menunjukkan bahwa struktur modal tidak signifikan memengaruhi </w:t>
      </w:r>
      <w:proofErr w:type="spellStart"/>
      <w:r w:rsidRPr="00620822">
        <w:rPr>
          <w:i/>
          <w:iCs/>
          <w:color w:val="000000"/>
          <w:szCs w:val="20"/>
          <w:lang w:val="id-ID"/>
        </w:rPr>
        <w:t>tax</w:t>
      </w:r>
      <w:proofErr w:type="spellEnd"/>
      <w:r w:rsidRPr="00620822">
        <w:rPr>
          <w:i/>
          <w:iCs/>
          <w:color w:val="000000"/>
          <w:szCs w:val="20"/>
          <w:lang w:val="id-ID"/>
        </w:rPr>
        <w:t xml:space="preserve"> </w:t>
      </w:r>
      <w:proofErr w:type="spellStart"/>
      <w:r w:rsidRPr="00620822">
        <w:rPr>
          <w:i/>
          <w:iCs/>
          <w:color w:val="000000"/>
          <w:szCs w:val="20"/>
          <w:lang w:val="id-ID"/>
        </w:rPr>
        <w:t>avoidance</w:t>
      </w:r>
      <w:proofErr w:type="spellEnd"/>
      <w:r w:rsidRPr="002275AF">
        <w:rPr>
          <w:color w:val="000000"/>
          <w:szCs w:val="20"/>
          <w:lang w:val="id-ID"/>
        </w:rPr>
        <w:t xml:space="preserve">, sesuai </w:t>
      </w:r>
      <w:r w:rsidRPr="00620822">
        <w:rPr>
          <w:i/>
          <w:iCs/>
          <w:color w:val="000000"/>
          <w:szCs w:val="20"/>
          <w:lang w:val="id-ID"/>
        </w:rPr>
        <w:t>Trade-</w:t>
      </w:r>
      <w:proofErr w:type="spellStart"/>
      <w:r w:rsidRPr="00620822">
        <w:rPr>
          <w:i/>
          <w:iCs/>
          <w:color w:val="000000"/>
          <w:szCs w:val="20"/>
          <w:lang w:val="id-ID"/>
        </w:rPr>
        <w:t>Off</w:t>
      </w:r>
      <w:proofErr w:type="spellEnd"/>
      <w:r w:rsidRPr="00620822">
        <w:rPr>
          <w:i/>
          <w:iCs/>
          <w:color w:val="000000"/>
          <w:szCs w:val="20"/>
          <w:lang w:val="id-ID"/>
        </w:rPr>
        <w:t xml:space="preserve"> </w:t>
      </w:r>
      <w:proofErr w:type="spellStart"/>
      <w:r w:rsidRPr="00620822">
        <w:rPr>
          <w:i/>
          <w:iCs/>
          <w:color w:val="000000"/>
          <w:szCs w:val="20"/>
          <w:lang w:val="id-ID"/>
        </w:rPr>
        <w:t>Theory</w:t>
      </w:r>
      <w:proofErr w:type="spellEnd"/>
      <w:r w:rsidR="00620822">
        <w:rPr>
          <w:color w:val="000000"/>
          <w:szCs w:val="20"/>
        </w:rPr>
        <w:t>.</w:t>
      </w:r>
      <w:r w:rsidRPr="002275AF">
        <w:rPr>
          <w:color w:val="000000"/>
          <w:szCs w:val="20"/>
          <w:lang w:val="id-ID"/>
        </w:rPr>
        <w:t xml:space="preserve"> </w:t>
      </w:r>
      <w:r w:rsidR="00620822" w:rsidRPr="002275AF">
        <w:rPr>
          <w:color w:val="000000"/>
          <w:szCs w:val="20"/>
          <w:lang w:val="id-ID"/>
        </w:rPr>
        <w:t>Sementara</w:t>
      </w:r>
      <w:r w:rsidR="00620822">
        <w:rPr>
          <w:color w:val="000000"/>
          <w:szCs w:val="20"/>
        </w:rPr>
        <w:t>,</w:t>
      </w:r>
      <w:r w:rsidR="00620822" w:rsidRPr="002275AF">
        <w:rPr>
          <w:color w:val="000000"/>
          <w:szCs w:val="20"/>
          <w:lang w:val="id-ID"/>
        </w:rPr>
        <w:t xml:space="preserve"> </w:t>
      </w:r>
      <w:r w:rsidRPr="002275AF">
        <w:rPr>
          <w:color w:val="000000"/>
          <w:szCs w:val="20"/>
          <w:lang w:val="id-ID"/>
        </w:rPr>
        <w:t xml:space="preserve">profitabilitas dan ukuran perusahaan berdampak positif dan signifikan, didukung </w:t>
      </w:r>
      <w:proofErr w:type="spellStart"/>
      <w:r w:rsidRPr="00620822">
        <w:rPr>
          <w:i/>
          <w:iCs/>
          <w:color w:val="000000"/>
          <w:szCs w:val="20"/>
          <w:lang w:val="id-ID"/>
        </w:rPr>
        <w:t>Agency</w:t>
      </w:r>
      <w:proofErr w:type="spellEnd"/>
      <w:r w:rsidRPr="00620822">
        <w:rPr>
          <w:i/>
          <w:iCs/>
          <w:color w:val="000000"/>
          <w:szCs w:val="20"/>
          <w:lang w:val="id-ID"/>
        </w:rPr>
        <w:t xml:space="preserve"> </w:t>
      </w:r>
      <w:proofErr w:type="spellStart"/>
      <w:r w:rsidRPr="00620822">
        <w:rPr>
          <w:i/>
          <w:iCs/>
          <w:color w:val="000000"/>
          <w:szCs w:val="20"/>
          <w:lang w:val="id-ID"/>
        </w:rPr>
        <w:t>Theory</w:t>
      </w:r>
      <w:proofErr w:type="spellEnd"/>
      <w:r w:rsidRPr="002275AF">
        <w:rPr>
          <w:color w:val="000000"/>
          <w:szCs w:val="20"/>
          <w:lang w:val="id-ID"/>
        </w:rPr>
        <w:t xml:space="preserve"> dan </w:t>
      </w:r>
      <w:proofErr w:type="spellStart"/>
      <w:r w:rsidRPr="00620822">
        <w:rPr>
          <w:i/>
          <w:iCs/>
          <w:color w:val="000000"/>
          <w:szCs w:val="20"/>
          <w:lang w:val="id-ID"/>
        </w:rPr>
        <w:t>Political</w:t>
      </w:r>
      <w:proofErr w:type="spellEnd"/>
      <w:r w:rsidRPr="00620822">
        <w:rPr>
          <w:i/>
          <w:iCs/>
          <w:color w:val="000000"/>
          <w:szCs w:val="20"/>
          <w:lang w:val="id-ID"/>
        </w:rPr>
        <w:t xml:space="preserve"> </w:t>
      </w:r>
      <w:proofErr w:type="spellStart"/>
      <w:r w:rsidRPr="00620822">
        <w:rPr>
          <w:i/>
          <w:iCs/>
          <w:color w:val="000000"/>
          <w:szCs w:val="20"/>
          <w:lang w:val="id-ID"/>
        </w:rPr>
        <w:t>Cost</w:t>
      </w:r>
      <w:proofErr w:type="spellEnd"/>
      <w:r w:rsidRPr="00620822">
        <w:rPr>
          <w:i/>
          <w:iCs/>
          <w:color w:val="000000"/>
          <w:szCs w:val="20"/>
          <w:lang w:val="id-ID"/>
        </w:rPr>
        <w:t xml:space="preserve"> </w:t>
      </w:r>
      <w:proofErr w:type="spellStart"/>
      <w:r w:rsidRPr="00620822">
        <w:rPr>
          <w:i/>
          <w:iCs/>
          <w:color w:val="000000"/>
          <w:szCs w:val="20"/>
          <w:lang w:val="id-ID"/>
        </w:rPr>
        <w:t>Theory</w:t>
      </w:r>
      <w:proofErr w:type="spellEnd"/>
      <w:r w:rsidRPr="002275AF">
        <w:rPr>
          <w:color w:val="000000"/>
          <w:szCs w:val="20"/>
          <w:lang w:val="id-ID"/>
        </w:rPr>
        <w:t xml:space="preserve">, karena perusahaan besar dan </w:t>
      </w:r>
      <w:r w:rsidR="00620822" w:rsidRPr="002275AF">
        <w:rPr>
          <w:color w:val="000000"/>
          <w:szCs w:val="20"/>
          <w:lang w:val="id-ID"/>
        </w:rPr>
        <w:t>profitabel</w:t>
      </w:r>
      <w:r w:rsidRPr="002275AF">
        <w:rPr>
          <w:color w:val="000000"/>
          <w:szCs w:val="20"/>
          <w:lang w:val="id-ID"/>
        </w:rPr>
        <w:t xml:space="preserve"> cenderung melakukan efisiensi pajak secara legal melalui sumber daya dan perencanaan profesional. Disarankan agar manajemen tidak hanya bergantung pada utang, tetapi juga mempertimbangkan risiko dan kepatuhan</w:t>
      </w:r>
      <w:r w:rsidR="00620822">
        <w:rPr>
          <w:color w:val="000000"/>
          <w:szCs w:val="20"/>
        </w:rPr>
        <w:t>.</w:t>
      </w:r>
      <w:r w:rsidRPr="002275AF">
        <w:rPr>
          <w:color w:val="000000"/>
          <w:szCs w:val="20"/>
          <w:lang w:val="id-ID"/>
        </w:rPr>
        <w:t xml:space="preserve"> </w:t>
      </w:r>
      <w:r w:rsidR="00620822" w:rsidRPr="002275AF">
        <w:rPr>
          <w:color w:val="000000"/>
          <w:szCs w:val="20"/>
          <w:lang w:val="id-ID"/>
        </w:rPr>
        <w:t xml:space="preserve">Regulator </w:t>
      </w:r>
      <w:r w:rsidRPr="002275AF">
        <w:rPr>
          <w:color w:val="000000"/>
          <w:szCs w:val="20"/>
          <w:lang w:val="id-ID"/>
        </w:rPr>
        <w:t xml:space="preserve">perlu memperketat pengawasan, memperbarui regulasi, dan meningkatkan transparansi untuk meminimalkan celah hukum. Perusahaan </w:t>
      </w:r>
      <w:r w:rsidR="00620822" w:rsidRPr="002275AF">
        <w:rPr>
          <w:color w:val="000000"/>
          <w:szCs w:val="20"/>
          <w:lang w:val="id-ID"/>
        </w:rPr>
        <w:t>profitabel</w:t>
      </w:r>
      <w:r w:rsidRPr="002275AF">
        <w:rPr>
          <w:color w:val="000000"/>
          <w:szCs w:val="20"/>
          <w:lang w:val="id-ID"/>
        </w:rPr>
        <w:t xml:space="preserve"> harus menjaga etika dan transparansi untuk menghindari persepsi negatif, sedangkan investor dianjurkan memantau indikator seperti </w:t>
      </w:r>
      <w:proofErr w:type="spellStart"/>
      <w:r w:rsidRPr="00620822">
        <w:rPr>
          <w:i/>
          <w:iCs/>
          <w:color w:val="000000"/>
          <w:szCs w:val="20"/>
          <w:lang w:val="id-ID"/>
        </w:rPr>
        <w:t>Effective</w:t>
      </w:r>
      <w:proofErr w:type="spellEnd"/>
      <w:r w:rsidRPr="00620822">
        <w:rPr>
          <w:i/>
          <w:iCs/>
          <w:color w:val="000000"/>
          <w:szCs w:val="20"/>
          <w:lang w:val="id-ID"/>
        </w:rPr>
        <w:t xml:space="preserve"> </w:t>
      </w:r>
      <w:proofErr w:type="spellStart"/>
      <w:r w:rsidRPr="00620822">
        <w:rPr>
          <w:i/>
          <w:iCs/>
          <w:color w:val="000000"/>
          <w:szCs w:val="20"/>
          <w:lang w:val="id-ID"/>
        </w:rPr>
        <w:t>Tax</w:t>
      </w:r>
      <w:proofErr w:type="spellEnd"/>
      <w:r w:rsidRPr="00620822">
        <w:rPr>
          <w:i/>
          <w:iCs/>
          <w:color w:val="000000"/>
          <w:szCs w:val="20"/>
          <w:lang w:val="id-ID"/>
        </w:rPr>
        <w:t xml:space="preserve"> Rate</w:t>
      </w:r>
      <w:r w:rsidRPr="002275AF">
        <w:rPr>
          <w:color w:val="000000"/>
          <w:szCs w:val="20"/>
          <w:lang w:val="id-ID"/>
        </w:rPr>
        <w:t xml:space="preserve"> dan </w:t>
      </w:r>
      <w:proofErr w:type="spellStart"/>
      <w:r w:rsidRPr="00620822">
        <w:rPr>
          <w:i/>
          <w:iCs/>
          <w:color w:val="000000"/>
          <w:szCs w:val="20"/>
          <w:lang w:val="id-ID"/>
        </w:rPr>
        <w:t>book-tax</w:t>
      </w:r>
      <w:proofErr w:type="spellEnd"/>
      <w:r w:rsidRPr="00620822">
        <w:rPr>
          <w:i/>
          <w:iCs/>
          <w:color w:val="000000"/>
          <w:szCs w:val="20"/>
          <w:lang w:val="id-ID"/>
        </w:rPr>
        <w:t xml:space="preserve"> </w:t>
      </w:r>
      <w:proofErr w:type="spellStart"/>
      <w:r w:rsidRPr="00620822">
        <w:rPr>
          <w:i/>
          <w:iCs/>
          <w:color w:val="000000"/>
          <w:szCs w:val="20"/>
          <w:lang w:val="id-ID"/>
        </w:rPr>
        <w:t>difference</w:t>
      </w:r>
      <w:proofErr w:type="spellEnd"/>
      <w:r w:rsidRPr="002275AF">
        <w:rPr>
          <w:color w:val="000000"/>
          <w:szCs w:val="20"/>
          <w:lang w:val="id-ID"/>
        </w:rPr>
        <w:t xml:space="preserve"> sebagai sinyal </w:t>
      </w:r>
      <w:proofErr w:type="spellStart"/>
      <w:r w:rsidRPr="00620822">
        <w:rPr>
          <w:i/>
          <w:iCs/>
          <w:color w:val="000000"/>
          <w:szCs w:val="20"/>
          <w:lang w:val="id-ID"/>
        </w:rPr>
        <w:t>tax</w:t>
      </w:r>
      <w:proofErr w:type="spellEnd"/>
      <w:r w:rsidRPr="00620822">
        <w:rPr>
          <w:i/>
          <w:iCs/>
          <w:color w:val="000000"/>
          <w:szCs w:val="20"/>
          <w:lang w:val="id-ID"/>
        </w:rPr>
        <w:t xml:space="preserve"> </w:t>
      </w:r>
      <w:proofErr w:type="spellStart"/>
      <w:r w:rsidRPr="00620822">
        <w:rPr>
          <w:i/>
          <w:iCs/>
          <w:color w:val="000000"/>
          <w:szCs w:val="20"/>
          <w:lang w:val="id-ID"/>
        </w:rPr>
        <w:t>avoidance</w:t>
      </w:r>
      <w:proofErr w:type="spellEnd"/>
      <w:r w:rsidRPr="002275AF">
        <w:rPr>
          <w:color w:val="000000"/>
          <w:szCs w:val="20"/>
          <w:lang w:val="id-ID"/>
        </w:rPr>
        <w:t>. Pemerintah dan otoritas fiskal perlu meningkatkan pengawasan pada perusahaan besar dengan pelaporan kompleks, sementara perusahaan harus menyeimbangkan efisiensi pajak dengan transparansi untuk memastikan praktik tetap legal dan berkelanjutan</w:t>
      </w:r>
      <w:r w:rsidR="005B3F1D" w:rsidRPr="002275AF">
        <w:rPr>
          <w:color w:val="000000"/>
          <w:szCs w:val="20"/>
          <w:lang w:val="id-ID"/>
        </w:rPr>
        <w:t>.</w:t>
      </w:r>
    </w:p>
    <w:p w14:paraId="2667B347" w14:textId="06F5D4CF" w:rsidR="00272545" w:rsidRPr="002275AF" w:rsidRDefault="00252E1C" w:rsidP="005527F9">
      <w:pPr>
        <w:pStyle w:val="Heading1"/>
        <w:tabs>
          <w:tab w:val="left" w:pos="284"/>
        </w:tabs>
        <w:spacing w:before="120"/>
        <w:rPr>
          <w:b w:val="0"/>
          <w:bCs w:val="0"/>
          <w:lang w:val="id-ID"/>
        </w:rPr>
      </w:pPr>
      <w:r w:rsidRPr="002275AF">
        <w:rPr>
          <w:lang w:val="id-ID"/>
        </w:rPr>
        <w:t>Daftar Rujukan</w:t>
      </w:r>
      <w:r w:rsidR="00272545" w:rsidRPr="002275AF">
        <w:rPr>
          <w:lang w:val="id-ID"/>
        </w:rPr>
        <w:t xml:space="preserve"> </w:t>
      </w:r>
    </w:p>
    <w:p w14:paraId="73557592" w14:textId="77777777" w:rsidR="007C665C" w:rsidRPr="005527F9" w:rsidRDefault="003964A3" w:rsidP="005527F9">
      <w:pPr>
        <w:widowControl w:val="0"/>
        <w:autoSpaceDE w:val="0"/>
        <w:autoSpaceDN w:val="0"/>
        <w:adjustRightInd w:val="0"/>
        <w:spacing w:before="120" w:after="120"/>
        <w:ind w:left="360" w:hanging="360"/>
        <w:rPr>
          <w:noProof/>
          <w:sz w:val="16"/>
          <w:szCs w:val="20"/>
        </w:rPr>
      </w:pPr>
      <w:r w:rsidRPr="005527F9">
        <w:rPr>
          <w:sz w:val="16"/>
          <w:szCs w:val="18"/>
        </w:rPr>
        <w:fldChar w:fldCharType="begin" w:fldLock="1"/>
      </w:r>
      <w:r w:rsidRPr="005527F9">
        <w:rPr>
          <w:sz w:val="16"/>
          <w:szCs w:val="18"/>
        </w:rPr>
        <w:instrText xml:space="preserve">ADDIN Mendeley Bibliography CSL_BIBLIOGRAPHY </w:instrText>
      </w:r>
      <w:r w:rsidRPr="005527F9">
        <w:rPr>
          <w:sz w:val="16"/>
          <w:szCs w:val="18"/>
        </w:rPr>
        <w:fldChar w:fldCharType="separate"/>
      </w:r>
      <w:bookmarkStart w:id="0" w:name="_Hlk198806991"/>
      <w:r w:rsidR="007C665C" w:rsidRPr="005527F9">
        <w:rPr>
          <w:noProof/>
          <w:sz w:val="16"/>
          <w:szCs w:val="20"/>
        </w:rPr>
        <w:t>[1]</w:t>
      </w:r>
      <w:r w:rsidR="007C665C" w:rsidRPr="005527F9">
        <w:rPr>
          <w:noProof/>
          <w:sz w:val="16"/>
          <w:szCs w:val="20"/>
        </w:rPr>
        <w:tab/>
      </w:r>
      <w:bookmarkStart w:id="1" w:name="a1"/>
      <w:bookmarkEnd w:id="1"/>
      <w:r w:rsidR="007C665C" w:rsidRPr="005527F9">
        <w:rPr>
          <w:noProof/>
          <w:sz w:val="16"/>
          <w:szCs w:val="20"/>
          <w:lang w:val="id"/>
        </w:rPr>
        <w:t xml:space="preserve">Mutianisa, T., Febriyanti, D., &amp; Sajekti, T. (2024). Pengaruh Auditor Switching, Audit Fee, Audit Committee, Dan Firm Size Terhadap Audit Delay (Sektor Property Dan Real Estate BEI 2015-2023). </w:t>
      </w:r>
      <w:r w:rsidR="007C665C" w:rsidRPr="005527F9">
        <w:rPr>
          <w:i/>
          <w:noProof/>
          <w:sz w:val="16"/>
          <w:szCs w:val="20"/>
          <w:lang w:val="id"/>
        </w:rPr>
        <w:t>Eco-Fin</w:t>
      </w:r>
      <w:r w:rsidR="007C665C" w:rsidRPr="005527F9">
        <w:rPr>
          <w:noProof/>
          <w:sz w:val="16"/>
          <w:szCs w:val="20"/>
          <w:lang w:val="id"/>
        </w:rPr>
        <w:t xml:space="preserve">, </w:t>
      </w:r>
      <w:r w:rsidR="007C665C" w:rsidRPr="005527F9">
        <w:rPr>
          <w:i/>
          <w:noProof/>
          <w:sz w:val="16"/>
          <w:szCs w:val="20"/>
          <w:lang w:val="id"/>
        </w:rPr>
        <w:t>6</w:t>
      </w:r>
      <w:r w:rsidR="007C665C" w:rsidRPr="005527F9">
        <w:rPr>
          <w:noProof/>
          <w:sz w:val="16"/>
          <w:szCs w:val="20"/>
          <w:lang w:val="id"/>
        </w:rPr>
        <w:t>(2), 367–376. https://doi.org/10.32877/ef.v6i2.1436</w:t>
      </w:r>
    </w:p>
    <w:p w14:paraId="308C4685"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[2]</w:t>
      </w:r>
      <w:r w:rsidRPr="005527F9">
        <w:rPr>
          <w:noProof/>
          <w:sz w:val="16"/>
          <w:szCs w:val="20"/>
        </w:rPr>
        <w:tab/>
      </w:r>
      <w:bookmarkStart w:id="2" w:name="a2"/>
      <w:bookmarkEnd w:id="2"/>
      <w:r w:rsidRPr="005527F9">
        <w:rPr>
          <w:noProof/>
          <w:sz w:val="16"/>
          <w:szCs w:val="20"/>
          <w:lang w:val="id"/>
        </w:rPr>
        <w:t xml:space="preserve">Silindung, B. S., &amp; Yanti, H. B. (2023). Analisis Kinerja Keuangan Perusahaan Sektor Properti Dan Real Estate Sebelum Dan Selama Pandemi Covid-19. </w:t>
      </w:r>
      <w:r w:rsidRPr="005527F9">
        <w:rPr>
          <w:i/>
          <w:noProof/>
          <w:sz w:val="16"/>
          <w:szCs w:val="20"/>
          <w:lang w:val="id"/>
        </w:rPr>
        <w:t>Jurnal Ekonomi Trisakti</w:t>
      </w:r>
      <w:r w:rsidRPr="005527F9">
        <w:rPr>
          <w:noProof/>
          <w:sz w:val="16"/>
          <w:szCs w:val="20"/>
          <w:lang w:val="id"/>
        </w:rPr>
        <w:t xml:space="preserve">, </w:t>
      </w:r>
      <w:r w:rsidRPr="005527F9">
        <w:rPr>
          <w:i/>
          <w:noProof/>
          <w:sz w:val="16"/>
          <w:szCs w:val="20"/>
          <w:lang w:val="id"/>
        </w:rPr>
        <w:t>3</w:t>
      </w:r>
      <w:r w:rsidRPr="005527F9">
        <w:rPr>
          <w:noProof/>
          <w:sz w:val="16"/>
          <w:szCs w:val="20"/>
          <w:lang w:val="id"/>
        </w:rPr>
        <w:t>(1), 329–340. https://doi.org/10.25105/jet.v3i1.15437</w:t>
      </w:r>
    </w:p>
    <w:p w14:paraId="107A2620"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[3]</w:t>
      </w:r>
      <w:r w:rsidRPr="005527F9">
        <w:rPr>
          <w:noProof/>
          <w:sz w:val="16"/>
          <w:szCs w:val="20"/>
        </w:rPr>
        <w:tab/>
      </w:r>
      <w:bookmarkStart w:id="3" w:name="a3"/>
      <w:bookmarkEnd w:id="3"/>
      <w:r w:rsidRPr="005527F9">
        <w:rPr>
          <w:noProof/>
          <w:sz w:val="16"/>
          <w:szCs w:val="20"/>
          <w:lang w:val="id"/>
        </w:rPr>
        <w:t xml:space="preserve">Fitriaty, F., &amp; Saputra, M. H. (2022). Inflasi, Suku Bunga Dan Resesi Terhadap Kinerja Saham Perusahaan Properti Dan Real Estate Di Bursa Efek Indonesia. </w:t>
      </w:r>
      <w:r w:rsidRPr="005527F9">
        <w:rPr>
          <w:i/>
          <w:noProof/>
          <w:sz w:val="16"/>
          <w:szCs w:val="20"/>
          <w:lang w:val="id"/>
        </w:rPr>
        <w:t>Jurnal Manajemen Terapan Dan Keuangan</w:t>
      </w:r>
      <w:r w:rsidRPr="005527F9">
        <w:rPr>
          <w:noProof/>
          <w:sz w:val="16"/>
          <w:szCs w:val="20"/>
          <w:lang w:val="id"/>
        </w:rPr>
        <w:t xml:space="preserve">, </w:t>
      </w:r>
      <w:r w:rsidRPr="005527F9">
        <w:rPr>
          <w:i/>
          <w:noProof/>
          <w:sz w:val="16"/>
          <w:szCs w:val="20"/>
          <w:lang w:val="id"/>
        </w:rPr>
        <w:t>11</w:t>
      </w:r>
      <w:r w:rsidRPr="005527F9">
        <w:rPr>
          <w:noProof/>
          <w:sz w:val="16"/>
          <w:szCs w:val="20"/>
          <w:lang w:val="id"/>
        </w:rPr>
        <w:t>(04), 981–992. https://doi.org/10.22437/jmk.v11i04.21767</w:t>
      </w:r>
    </w:p>
    <w:p w14:paraId="391549E1"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[4]</w:t>
      </w:r>
      <w:r w:rsidRPr="005527F9">
        <w:rPr>
          <w:noProof/>
          <w:sz w:val="16"/>
          <w:szCs w:val="20"/>
        </w:rPr>
        <w:tab/>
      </w:r>
      <w:bookmarkStart w:id="4" w:name="a4"/>
      <w:bookmarkEnd w:id="4"/>
      <w:r w:rsidRPr="005527F9">
        <w:rPr>
          <w:noProof/>
          <w:sz w:val="16"/>
          <w:szCs w:val="20"/>
          <w:lang w:val="id"/>
        </w:rPr>
        <w:t xml:space="preserve">Rahma, A. A. (2020). Potensi Sumber Daya Alam Dalam Mengembangkan Sektor Pariwisata Di Indonesia. </w:t>
      </w:r>
      <w:r w:rsidRPr="005527F9">
        <w:rPr>
          <w:i/>
          <w:noProof/>
          <w:sz w:val="16"/>
          <w:szCs w:val="20"/>
          <w:lang w:val="id"/>
        </w:rPr>
        <w:t>Jurnal Nasional Pariwisata</w:t>
      </w:r>
      <w:r w:rsidRPr="005527F9">
        <w:rPr>
          <w:noProof/>
          <w:sz w:val="16"/>
          <w:szCs w:val="20"/>
          <w:lang w:val="id"/>
        </w:rPr>
        <w:t xml:space="preserve">, </w:t>
      </w:r>
      <w:r w:rsidRPr="005527F9">
        <w:rPr>
          <w:i/>
          <w:noProof/>
          <w:sz w:val="16"/>
          <w:szCs w:val="20"/>
          <w:lang w:val="id"/>
        </w:rPr>
        <w:t>12</w:t>
      </w:r>
      <w:r w:rsidRPr="005527F9">
        <w:rPr>
          <w:noProof/>
          <w:sz w:val="16"/>
          <w:szCs w:val="20"/>
          <w:lang w:val="id"/>
        </w:rPr>
        <w:t>(1), 1. https://doi.org/10.22146/jnp.52178</w:t>
      </w:r>
    </w:p>
    <w:p w14:paraId="00C015AF"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[5]</w:t>
      </w:r>
      <w:r w:rsidRPr="005527F9">
        <w:rPr>
          <w:noProof/>
          <w:sz w:val="16"/>
          <w:szCs w:val="20"/>
        </w:rPr>
        <w:tab/>
      </w:r>
      <w:bookmarkStart w:id="5" w:name="a5"/>
      <w:bookmarkEnd w:id="5"/>
      <w:r w:rsidRPr="005527F9">
        <w:rPr>
          <w:noProof/>
          <w:sz w:val="16"/>
          <w:szCs w:val="20"/>
          <w:lang w:val="id"/>
        </w:rPr>
        <w:t xml:space="preserve">Simanjuntak, L. R. (2023). Dampak Krisis Akibat Pandemi COVID-19 Terhadap Kinerja Perusahaan: Kajian Profitabilitas Perusahaan Riil Estat Dan Properti Di Indonesia. </w:t>
      </w:r>
      <w:r w:rsidRPr="005527F9">
        <w:rPr>
          <w:i/>
          <w:noProof/>
          <w:sz w:val="16"/>
          <w:szCs w:val="20"/>
          <w:lang w:val="id"/>
        </w:rPr>
        <w:t>Jurnal Proaksi</w:t>
      </w:r>
      <w:r w:rsidRPr="005527F9">
        <w:rPr>
          <w:noProof/>
          <w:sz w:val="16"/>
          <w:szCs w:val="20"/>
          <w:lang w:val="id"/>
        </w:rPr>
        <w:t xml:space="preserve">, </w:t>
      </w:r>
      <w:r w:rsidRPr="005527F9">
        <w:rPr>
          <w:i/>
          <w:noProof/>
          <w:sz w:val="16"/>
          <w:szCs w:val="20"/>
          <w:lang w:val="id"/>
        </w:rPr>
        <w:t>10</w:t>
      </w:r>
      <w:r w:rsidRPr="005527F9">
        <w:rPr>
          <w:noProof/>
          <w:sz w:val="16"/>
          <w:szCs w:val="20"/>
          <w:lang w:val="id"/>
        </w:rPr>
        <w:t>(4), 450–464. https://doi.org/10.32534/jpk.v10i4.4781</w:t>
      </w:r>
    </w:p>
    <w:p w14:paraId="640C7EFD"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[6]</w:t>
      </w:r>
      <w:r w:rsidRPr="005527F9">
        <w:rPr>
          <w:noProof/>
          <w:sz w:val="16"/>
          <w:szCs w:val="20"/>
        </w:rPr>
        <w:tab/>
      </w:r>
      <w:bookmarkStart w:id="6" w:name="a6"/>
      <w:bookmarkEnd w:id="6"/>
      <w:r w:rsidRPr="005527F9">
        <w:rPr>
          <w:noProof/>
          <w:sz w:val="16"/>
          <w:szCs w:val="20"/>
          <w:lang w:val="id"/>
        </w:rPr>
        <w:t xml:space="preserve">Rustiani, T., Tyas, I. W., &amp; Juniarto, A. (2024). Pengaruh Leverage Dan Ukuran Perusahaan Terhadap Tax Avoidence. </w:t>
      </w:r>
      <w:r w:rsidRPr="005527F9">
        <w:rPr>
          <w:i/>
          <w:noProof/>
          <w:sz w:val="16"/>
          <w:szCs w:val="20"/>
          <w:lang w:val="id"/>
        </w:rPr>
        <w:t>Jurnal Proaksi</w:t>
      </w:r>
      <w:r w:rsidRPr="005527F9">
        <w:rPr>
          <w:noProof/>
          <w:sz w:val="16"/>
          <w:szCs w:val="20"/>
          <w:lang w:val="id"/>
        </w:rPr>
        <w:t xml:space="preserve">, </w:t>
      </w:r>
      <w:r w:rsidRPr="005527F9">
        <w:rPr>
          <w:i/>
          <w:noProof/>
          <w:sz w:val="16"/>
          <w:szCs w:val="20"/>
          <w:lang w:val="id"/>
        </w:rPr>
        <w:t>11</w:t>
      </w:r>
      <w:r w:rsidRPr="005527F9">
        <w:rPr>
          <w:noProof/>
          <w:sz w:val="16"/>
          <w:szCs w:val="20"/>
          <w:lang w:val="id"/>
        </w:rPr>
        <w:t>(1), 102–120. https://doi.org/10.32534/jpk.v11i1.5473</w:t>
      </w:r>
    </w:p>
    <w:p w14:paraId="4E709464"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[7]</w:t>
      </w:r>
      <w:r w:rsidRPr="005527F9">
        <w:rPr>
          <w:noProof/>
          <w:sz w:val="16"/>
          <w:szCs w:val="20"/>
        </w:rPr>
        <w:tab/>
      </w:r>
      <w:bookmarkStart w:id="7" w:name="a7"/>
      <w:bookmarkEnd w:id="7"/>
      <w:r w:rsidRPr="005527F9">
        <w:rPr>
          <w:noProof/>
          <w:sz w:val="16"/>
          <w:szCs w:val="20"/>
          <w:lang w:val="id"/>
        </w:rPr>
        <w:t xml:space="preserve">Arkandana, M. T., Mariel, W. C. F., &amp; Pramana, S. (2023). The Impact During of Pandemic COVID-19 on Property Sector Case Study: DKI Jakarta Province. </w:t>
      </w:r>
      <w:r w:rsidRPr="005527F9">
        <w:rPr>
          <w:i/>
          <w:noProof/>
          <w:sz w:val="16"/>
          <w:szCs w:val="20"/>
          <w:lang w:val="id"/>
        </w:rPr>
        <w:t>Jurnal Ekonomi Indonesia</w:t>
      </w:r>
      <w:r w:rsidRPr="005527F9">
        <w:rPr>
          <w:noProof/>
          <w:sz w:val="16"/>
          <w:szCs w:val="20"/>
          <w:lang w:val="id"/>
        </w:rPr>
        <w:t xml:space="preserve">, </w:t>
      </w:r>
      <w:r w:rsidRPr="005527F9">
        <w:rPr>
          <w:i/>
          <w:noProof/>
          <w:sz w:val="16"/>
          <w:szCs w:val="20"/>
          <w:lang w:val="id"/>
        </w:rPr>
        <w:t>11</w:t>
      </w:r>
      <w:r w:rsidRPr="005527F9">
        <w:rPr>
          <w:noProof/>
          <w:sz w:val="16"/>
          <w:szCs w:val="20"/>
          <w:lang w:val="id"/>
        </w:rPr>
        <w:t>(3), 265–279. https://doi.org/10.52813/jei.v11i3.216</w:t>
      </w:r>
    </w:p>
    <w:p w14:paraId="4FF99585"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[8]</w:t>
      </w:r>
      <w:r w:rsidRPr="005527F9">
        <w:rPr>
          <w:noProof/>
          <w:sz w:val="16"/>
          <w:szCs w:val="20"/>
        </w:rPr>
        <w:tab/>
      </w:r>
      <w:bookmarkStart w:id="8" w:name="a8"/>
      <w:bookmarkEnd w:id="8"/>
      <w:r w:rsidRPr="005527F9">
        <w:rPr>
          <w:noProof/>
          <w:sz w:val="16"/>
          <w:szCs w:val="20"/>
          <w:lang w:val="id"/>
        </w:rPr>
        <w:t xml:space="preserve">Hidayati, A. M., Dharmayanti, G. A. P. C., &amp; Mertha, C. A. (2023). Decision to Residential Purchasing in Denpasar Before and During the Covid-19 Pandemic. </w:t>
      </w:r>
      <w:r w:rsidRPr="005527F9">
        <w:rPr>
          <w:i/>
          <w:noProof/>
          <w:sz w:val="16"/>
          <w:szCs w:val="20"/>
          <w:lang w:val="id"/>
        </w:rPr>
        <w:t>Journal of Asian Multicultural Research for Economy and Management Study</w:t>
      </w:r>
      <w:r w:rsidRPr="005527F9">
        <w:rPr>
          <w:noProof/>
          <w:sz w:val="16"/>
          <w:szCs w:val="20"/>
          <w:lang w:val="id"/>
        </w:rPr>
        <w:t xml:space="preserve">, </w:t>
      </w:r>
      <w:r w:rsidRPr="005527F9">
        <w:rPr>
          <w:i/>
          <w:noProof/>
          <w:sz w:val="16"/>
          <w:szCs w:val="20"/>
          <w:lang w:val="id"/>
        </w:rPr>
        <w:t>4</w:t>
      </w:r>
      <w:r w:rsidRPr="005527F9">
        <w:rPr>
          <w:noProof/>
          <w:sz w:val="16"/>
          <w:szCs w:val="20"/>
          <w:lang w:val="id"/>
        </w:rPr>
        <w:t>(2), 15–24. https://doi.org/10.47616/jamrems.v4i2.415</w:t>
      </w:r>
    </w:p>
    <w:p w14:paraId="34E9FD50"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[9]</w:t>
      </w:r>
      <w:r w:rsidRPr="005527F9">
        <w:rPr>
          <w:noProof/>
          <w:sz w:val="16"/>
          <w:szCs w:val="20"/>
        </w:rPr>
        <w:tab/>
      </w:r>
      <w:bookmarkStart w:id="9" w:name="a9"/>
      <w:bookmarkEnd w:id="9"/>
      <w:r w:rsidRPr="005527F9">
        <w:rPr>
          <w:noProof/>
          <w:sz w:val="16"/>
          <w:szCs w:val="20"/>
          <w:lang w:val="id"/>
        </w:rPr>
        <w:t xml:space="preserve">Pahmi, M. A., Imtihan, M., &amp; Mujiarto, M. (2021). </w:t>
      </w:r>
      <w:r w:rsidRPr="005527F9">
        <w:rPr>
          <w:i/>
          <w:noProof/>
          <w:sz w:val="16"/>
          <w:szCs w:val="20"/>
          <w:lang w:val="id"/>
        </w:rPr>
        <w:t>Review the Development of the Indonesian Property Sector Amidst 2019 Global Economic Stagnation and Predictions on Post COVID-19 2020 Recovery</w:t>
      </w:r>
      <w:r w:rsidRPr="005527F9">
        <w:rPr>
          <w:noProof/>
          <w:sz w:val="16"/>
          <w:szCs w:val="20"/>
          <w:lang w:val="id"/>
        </w:rPr>
        <w:t>. https://doi.org/10.2991/assehr.k.210304.112</w:t>
      </w:r>
    </w:p>
    <w:p w14:paraId="0FA7B26B"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[10]</w:t>
      </w:r>
      <w:r w:rsidRPr="005527F9">
        <w:rPr>
          <w:noProof/>
          <w:sz w:val="16"/>
          <w:szCs w:val="20"/>
        </w:rPr>
        <w:tab/>
      </w:r>
      <w:bookmarkStart w:id="10" w:name="a10"/>
      <w:bookmarkEnd w:id="10"/>
      <w:r w:rsidRPr="005527F9">
        <w:rPr>
          <w:noProof/>
          <w:sz w:val="16"/>
          <w:szCs w:val="20"/>
          <w:lang w:val="id"/>
        </w:rPr>
        <w:t xml:space="preserve">Asih, K. L., &amp; Darmawati, D. (2022). The Role of Independend Commisioners in Moderating the Effect of Profitability, Company Size and Company Risk on Tax Avoidance. </w:t>
      </w:r>
      <w:r w:rsidRPr="005527F9">
        <w:rPr>
          <w:i/>
          <w:noProof/>
          <w:sz w:val="16"/>
          <w:szCs w:val="20"/>
          <w:lang w:val="id"/>
        </w:rPr>
        <w:t>Asia Pacific Fraud Journal</w:t>
      </w:r>
      <w:r w:rsidRPr="005527F9">
        <w:rPr>
          <w:noProof/>
          <w:sz w:val="16"/>
          <w:szCs w:val="20"/>
          <w:lang w:val="id"/>
        </w:rPr>
        <w:t xml:space="preserve">, </w:t>
      </w:r>
      <w:r w:rsidRPr="005527F9">
        <w:rPr>
          <w:i/>
          <w:noProof/>
          <w:sz w:val="16"/>
          <w:szCs w:val="20"/>
          <w:lang w:val="id"/>
        </w:rPr>
        <w:t>6</w:t>
      </w:r>
      <w:r w:rsidRPr="005527F9">
        <w:rPr>
          <w:noProof/>
          <w:sz w:val="16"/>
          <w:szCs w:val="20"/>
          <w:lang w:val="id"/>
        </w:rPr>
        <w:t>(2), 235. https://doi.org/10.21532/apfjournal.v6i2.222</w:t>
      </w:r>
    </w:p>
    <w:p w14:paraId="2F7469DF"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[11]</w:t>
      </w:r>
      <w:r w:rsidRPr="005527F9">
        <w:rPr>
          <w:noProof/>
          <w:sz w:val="16"/>
          <w:szCs w:val="20"/>
        </w:rPr>
        <w:tab/>
      </w:r>
      <w:bookmarkStart w:id="11" w:name="a11"/>
      <w:bookmarkEnd w:id="11"/>
      <w:r w:rsidRPr="005527F9">
        <w:rPr>
          <w:noProof/>
          <w:sz w:val="16"/>
          <w:szCs w:val="20"/>
          <w:lang w:val="id"/>
        </w:rPr>
        <w:t xml:space="preserve">Kibtiah, T. M., Sampurna, N., &amp; Lopez, Y. J. G. (2022). </w:t>
      </w:r>
      <w:r w:rsidRPr="005527F9">
        <w:rPr>
          <w:i/>
          <w:noProof/>
          <w:sz w:val="16"/>
          <w:szCs w:val="20"/>
          <w:lang w:val="id"/>
        </w:rPr>
        <w:t>The Connection Between Manufacturing and Energy Sector and Its Impact on Indonesia’s Economic Growth</w:t>
      </w:r>
      <w:r w:rsidRPr="005527F9">
        <w:rPr>
          <w:noProof/>
          <w:sz w:val="16"/>
          <w:szCs w:val="20"/>
          <w:lang w:val="id"/>
        </w:rPr>
        <w:t>. https://doi.org/10.46254/in02.20220507</w:t>
      </w:r>
    </w:p>
    <w:p w14:paraId="200E4FEE"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[12]</w:t>
      </w:r>
      <w:r w:rsidRPr="005527F9">
        <w:rPr>
          <w:noProof/>
          <w:sz w:val="16"/>
          <w:szCs w:val="20"/>
        </w:rPr>
        <w:tab/>
      </w:r>
      <w:bookmarkStart w:id="12" w:name="a12"/>
      <w:bookmarkEnd w:id="12"/>
      <w:r w:rsidRPr="005527F9">
        <w:rPr>
          <w:noProof/>
          <w:sz w:val="16"/>
          <w:szCs w:val="20"/>
          <w:lang w:val="id"/>
        </w:rPr>
        <w:t xml:space="preserve">Hasanah, L. U., Haryadi, H., &amp; Emilia, E. (2021). Studi Variabel Makroekonomi Dan Pengaruhnya Terhadap Indeks Harga Saham Sektor Properti Dan Real Estate Di Bursa Efek Indonesia. </w:t>
      </w:r>
      <w:r w:rsidRPr="005527F9">
        <w:rPr>
          <w:i/>
          <w:noProof/>
          <w:sz w:val="16"/>
          <w:szCs w:val="20"/>
          <w:lang w:val="id"/>
        </w:rPr>
        <w:t>Jurnal Ekonomi Aktual</w:t>
      </w:r>
      <w:r w:rsidRPr="005527F9">
        <w:rPr>
          <w:noProof/>
          <w:sz w:val="16"/>
          <w:szCs w:val="20"/>
          <w:lang w:val="id"/>
        </w:rPr>
        <w:t xml:space="preserve">, </w:t>
      </w:r>
      <w:r w:rsidRPr="005527F9">
        <w:rPr>
          <w:i/>
          <w:noProof/>
          <w:sz w:val="16"/>
          <w:szCs w:val="20"/>
          <w:lang w:val="id"/>
        </w:rPr>
        <w:t>1</w:t>
      </w:r>
      <w:r w:rsidRPr="005527F9">
        <w:rPr>
          <w:noProof/>
          <w:sz w:val="16"/>
          <w:szCs w:val="20"/>
          <w:lang w:val="id"/>
        </w:rPr>
        <w:t>(2), 85–98. https://doi.org/10.53867/jea.v1i2.21</w:t>
      </w:r>
    </w:p>
    <w:p w14:paraId="601D0E9D" w14:textId="055A6EBD"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[13]</w:t>
      </w:r>
      <w:r w:rsidRPr="005527F9">
        <w:rPr>
          <w:noProof/>
          <w:sz w:val="16"/>
          <w:szCs w:val="20"/>
        </w:rPr>
        <w:tab/>
      </w:r>
      <w:bookmarkStart w:id="13" w:name="a13"/>
      <w:bookmarkEnd w:id="13"/>
      <w:r w:rsidR="00D76F4D" w:rsidRPr="00D76F4D">
        <w:rPr>
          <w:noProof/>
          <w:sz w:val="16"/>
          <w:szCs w:val="20"/>
        </w:rPr>
        <w:t>Kraus, A., &amp; Litzenberger, R. H. (1973). A state-preference model of optimal financial leverage. </w:t>
      </w:r>
      <w:r w:rsidR="00D76F4D" w:rsidRPr="00D76F4D">
        <w:rPr>
          <w:i/>
          <w:iCs/>
          <w:noProof/>
          <w:sz w:val="16"/>
          <w:szCs w:val="20"/>
        </w:rPr>
        <w:t>The journal of finance</w:t>
      </w:r>
      <w:r w:rsidR="00D76F4D" w:rsidRPr="00D76F4D">
        <w:rPr>
          <w:noProof/>
          <w:sz w:val="16"/>
          <w:szCs w:val="20"/>
        </w:rPr>
        <w:t>, </w:t>
      </w:r>
      <w:r w:rsidR="00D76F4D" w:rsidRPr="00D76F4D">
        <w:rPr>
          <w:i/>
          <w:iCs/>
          <w:noProof/>
          <w:sz w:val="16"/>
          <w:szCs w:val="20"/>
        </w:rPr>
        <w:t>28</w:t>
      </w:r>
      <w:r w:rsidR="00D76F4D" w:rsidRPr="00D76F4D">
        <w:rPr>
          <w:noProof/>
          <w:sz w:val="16"/>
          <w:szCs w:val="20"/>
        </w:rPr>
        <w:t xml:space="preserve">(4), 911-922. </w:t>
      </w:r>
      <w:r w:rsidRPr="005527F9">
        <w:rPr>
          <w:noProof/>
          <w:sz w:val="16"/>
          <w:szCs w:val="20"/>
        </w:rPr>
        <w:t>https://doi.org/10.1111/j.1540-6261.1973.tb01415.x</w:t>
      </w:r>
    </w:p>
    <w:p w14:paraId="55C67CDE"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[14]</w:t>
      </w:r>
      <w:bookmarkStart w:id="14" w:name="a14"/>
      <w:bookmarkEnd w:id="14"/>
      <w:r w:rsidRPr="005527F9">
        <w:rPr>
          <w:noProof/>
          <w:sz w:val="16"/>
          <w:szCs w:val="20"/>
        </w:rPr>
        <w:tab/>
        <w:t>Julkam, J., &amp; Efriyenti, D. (2023). Analisis Faktor-Faktor Yang Mempengaruhi Tax Avoidance Pada Perusahaan Manufaktur. </w:t>
      </w:r>
      <w:r w:rsidRPr="005527F9">
        <w:rPr>
          <w:i/>
          <w:iCs/>
          <w:noProof/>
          <w:sz w:val="16"/>
          <w:szCs w:val="20"/>
        </w:rPr>
        <w:t>SEIKO: Journal of Management &amp; Business</w:t>
      </w:r>
      <w:r w:rsidRPr="005527F9">
        <w:rPr>
          <w:noProof/>
          <w:sz w:val="16"/>
          <w:szCs w:val="20"/>
        </w:rPr>
        <w:t>, </w:t>
      </w:r>
      <w:r w:rsidRPr="005527F9">
        <w:rPr>
          <w:i/>
          <w:iCs/>
          <w:noProof/>
          <w:sz w:val="16"/>
          <w:szCs w:val="20"/>
        </w:rPr>
        <w:t>6</w:t>
      </w:r>
      <w:r w:rsidRPr="005527F9">
        <w:rPr>
          <w:noProof/>
          <w:sz w:val="16"/>
          <w:szCs w:val="20"/>
        </w:rPr>
        <w:t>(1), 459-470. https://doi.org/10.37531/sejaman.v6i1.4314</w:t>
      </w:r>
    </w:p>
    <w:p w14:paraId="3AB136B4" w14:textId="77777777"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[15]</w:t>
      </w:r>
      <w:r w:rsidRPr="005527F9">
        <w:rPr>
          <w:noProof/>
          <w:sz w:val="16"/>
          <w:szCs w:val="20"/>
        </w:rPr>
        <w:tab/>
      </w:r>
      <w:bookmarkStart w:id="15" w:name="a15"/>
      <w:bookmarkEnd w:id="15"/>
      <w:r w:rsidRPr="005527F9">
        <w:rPr>
          <w:noProof/>
          <w:sz w:val="16"/>
          <w:szCs w:val="20"/>
        </w:rPr>
        <w:t>Jensen, M. C., &amp; Meckling, W. H. (2019). Theory of the firm: Managerial behavior, agency costs and ownership structure. In </w:t>
      </w:r>
      <w:r w:rsidRPr="005527F9">
        <w:rPr>
          <w:i/>
          <w:iCs/>
          <w:noProof/>
          <w:sz w:val="16"/>
          <w:szCs w:val="20"/>
        </w:rPr>
        <w:t>Corporate governance</w:t>
      </w:r>
      <w:r w:rsidRPr="005527F9">
        <w:rPr>
          <w:noProof/>
          <w:sz w:val="16"/>
          <w:szCs w:val="20"/>
        </w:rPr>
        <w:t> (pp. 77-132). Gower</w:t>
      </w:r>
    </w:p>
    <w:p w14:paraId="3B8C5A01" w14:textId="3A58BFE0"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[16]</w:t>
      </w:r>
      <w:r w:rsidRPr="005527F9">
        <w:rPr>
          <w:noProof/>
          <w:sz w:val="16"/>
          <w:szCs w:val="20"/>
        </w:rPr>
        <w:tab/>
      </w:r>
      <w:bookmarkStart w:id="16" w:name="a16"/>
      <w:bookmarkEnd w:id="16"/>
      <w:r w:rsidRPr="005527F9">
        <w:rPr>
          <w:noProof/>
          <w:sz w:val="16"/>
          <w:szCs w:val="20"/>
        </w:rPr>
        <w:t>Rasyid, A. F. R., &amp; Muid, D. (2024). Pengaruh Profitabilitas Dan Leverage Terhadap Tax Avoidance Pada Perusahaan Makanan Dan Minuman Yang Terdaftar Di Bursa Efek Indonesia Tahun 2020 – 2023. </w:t>
      </w:r>
      <w:r w:rsidRPr="005527F9">
        <w:rPr>
          <w:i/>
          <w:iCs/>
          <w:noProof/>
          <w:sz w:val="16"/>
          <w:szCs w:val="20"/>
        </w:rPr>
        <w:t>Diponegoro Journal of Accounting, 13</w:t>
      </w:r>
      <w:r w:rsidRPr="005527F9">
        <w:rPr>
          <w:noProof/>
          <w:sz w:val="16"/>
          <w:szCs w:val="20"/>
        </w:rPr>
        <w:t xml:space="preserve">(4). </w:t>
      </w:r>
    </w:p>
    <w:p w14:paraId="12659E33" w14:textId="55EAE6CC"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[17]</w:t>
      </w:r>
      <w:r w:rsidRPr="005527F9">
        <w:rPr>
          <w:noProof/>
          <w:sz w:val="16"/>
          <w:szCs w:val="20"/>
        </w:rPr>
        <w:tab/>
      </w:r>
      <w:bookmarkStart w:id="17" w:name="a17"/>
      <w:bookmarkEnd w:id="17"/>
      <w:r w:rsidR="00D76F4D" w:rsidRPr="00D76F4D">
        <w:rPr>
          <w:noProof/>
          <w:sz w:val="16"/>
          <w:szCs w:val="20"/>
        </w:rPr>
        <w:t>Watts, R. L., &amp; Zimmerman, J. L. (1978). Towards a positive theory of the determination of accounting standards. </w:t>
      </w:r>
      <w:r w:rsidR="00D76F4D" w:rsidRPr="00D76F4D">
        <w:rPr>
          <w:i/>
          <w:iCs/>
          <w:noProof/>
          <w:sz w:val="16"/>
          <w:szCs w:val="20"/>
        </w:rPr>
        <w:t>Accounting review</w:t>
      </w:r>
      <w:r w:rsidR="00D76F4D" w:rsidRPr="00D76F4D">
        <w:rPr>
          <w:noProof/>
          <w:sz w:val="16"/>
          <w:szCs w:val="20"/>
        </w:rPr>
        <w:t>, 112-134.</w:t>
      </w:r>
    </w:p>
    <w:p w14:paraId="5F72C917" w14:textId="665C080A" w:rsidR="007C665C" w:rsidRPr="005527F9" w:rsidRDefault="007C665C" w:rsidP="005527F9">
      <w:pPr>
        <w:widowControl w:val="0"/>
        <w:autoSpaceDE w:val="0"/>
        <w:autoSpaceDN w:val="0"/>
        <w:adjustRightInd w:val="0"/>
        <w:spacing w:before="120" w:after="120"/>
        <w:ind w:left="360" w:hanging="360"/>
        <w:rPr>
          <w:noProof/>
          <w:sz w:val="16"/>
          <w:szCs w:val="20"/>
        </w:rPr>
      </w:pPr>
      <w:r w:rsidRPr="005527F9">
        <w:rPr>
          <w:noProof/>
          <w:sz w:val="16"/>
          <w:szCs w:val="20"/>
        </w:rPr>
        <w:t>[18]</w:t>
      </w:r>
      <w:r w:rsidRPr="005527F9">
        <w:rPr>
          <w:noProof/>
          <w:sz w:val="16"/>
          <w:szCs w:val="20"/>
        </w:rPr>
        <w:tab/>
      </w:r>
      <w:bookmarkStart w:id="18" w:name="a18"/>
      <w:bookmarkEnd w:id="18"/>
      <w:r w:rsidR="00D76F4D" w:rsidRPr="00D76F4D">
        <w:rPr>
          <w:noProof/>
          <w:sz w:val="16"/>
          <w:szCs w:val="20"/>
        </w:rPr>
        <w:t>Arta, R. J., &amp; Zulaikha, Z. (2023). Pengaruh CSR, Likuiditas, Profitabilitas, dan Ukuran Perusahaan terhadap Penghindaran Pajak. </w:t>
      </w:r>
      <w:r w:rsidR="00D76F4D" w:rsidRPr="00D76F4D">
        <w:rPr>
          <w:i/>
          <w:iCs/>
          <w:noProof/>
          <w:sz w:val="16"/>
          <w:szCs w:val="20"/>
        </w:rPr>
        <w:t>Diponegoro Journal of Accounting</w:t>
      </w:r>
      <w:r w:rsidR="00D76F4D" w:rsidRPr="00D76F4D">
        <w:rPr>
          <w:noProof/>
          <w:sz w:val="16"/>
          <w:szCs w:val="20"/>
        </w:rPr>
        <w:t>, </w:t>
      </w:r>
      <w:r w:rsidR="00D76F4D" w:rsidRPr="00D76F4D">
        <w:rPr>
          <w:i/>
          <w:iCs/>
          <w:noProof/>
          <w:sz w:val="16"/>
          <w:szCs w:val="20"/>
        </w:rPr>
        <w:t>12</w:t>
      </w:r>
      <w:r w:rsidR="00D76F4D" w:rsidRPr="00D76F4D">
        <w:rPr>
          <w:noProof/>
          <w:sz w:val="16"/>
          <w:szCs w:val="20"/>
        </w:rPr>
        <w:t>(3)</w:t>
      </w:r>
      <w:r w:rsidRPr="005527F9">
        <w:rPr>
          <w:noProof/>
          <w:sz w:val="16"/>
          <w:szCs w:val="20"/>
        </w:rPr>
        <w:t xml:space="preserve">. </w:t>
      </w:r>
    </w:p>
    <w:bookmarkEnd w:id="0"/>
    <w:p w14:paraId="51996AE5" w14:textId="77777777" w:rsidR="00AD7F80" w:rsidRPr="00754EA6" w:rsidRDefault="003964A3" w:rsidP="005527F9">
      <w:pPr>
        <w:spacing w:before="120" w:after="120"/>
        <w:ind w:left="360" w:hanging="360"/>
        <w:sectPr w:rsidR="00AD7F80" w:rsidRPr="00754EA6" w:rsidSect="00111E7B">
          <w:type w:val="continuous"/>
          <w:pgSz w:w="11906" w:h="16838"/>
          <w:pgMar w:top="1344" w:right="1411" w:bottom="1411" w:left="1411" w:header="706" w:footer="706" w:gutter="0"/>
          <w:cols w:num="2" w:space="156"/>
          <w:docGrid w:linePitch="360"/>
        </w:sectPr>
      </w:pPr>
      <w:r w:rsidRPr="005527F9">
        <w:rPr>
          <w:sz w:val="16"/>
          <w:szCs w:val="18"/>
        </w:rPr>
        <w:fldChar w:fldCharType="end"/>
      </w:r>
    </w:p>
    <w:p w14:paraId="05A6B07B" w14:textId="77777777" w:rsidR="00A12CC1" w:rsidRPr="00E634F5" w:rsidRDefault="00A12CC1" w:rsidP="00DD60E7">
      <w:pPr>
        <w:spacing w:after="150"/>
        <w:jc w:val="left"/>
        <w:rPr>
          <w:rFonts w:eastAsia="Times New Roman"/>
          <w:b/>
          <w:color w:val="333333"/>
          <w:sz w:val="16"/>
          <w:szCs w:val="16"/>
        </w:rPr>
      </w:pPr>
    </w:p>
    <w:sectPr w:rsidR="00A12CC1" w:rsidRPr="00E634F5" w:rsidSect="00BF4EFB">
      <w:type w:val="continuous"/>
      <w:pgSz w:w="11906" w:h="16838"/>
      <w:pgMar w:top="1344" w:right="1411" w:bottom="1411" w:left="1411" w:header="706" w:footer="706" w:gutter="0"/>
      <w:cols w:space="1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DF33" w14:textId="77777777" w:rsidR="00634114" w:rsidRPr="00084DD6" w:rsidRDefault="00634114" w:rsidP="00CD1425">
      <w:pPr>
        <w:pStyle w:val="BalloonText"/>
        <w:rPr>
          <w:sz w:val="20"/>
          <w:szCs w:val="22"/>
        </w:rPr>
      </w:pPr>
      <w:r>
        <w:separator/>
      </w:r>
    </w:p>
  </w:endnote>
  <w:endnote w:type="continuationSeparator" w:id="0">
    <w:p w14:paraId="4A48244E" w14:textId="77777777" w:rsidR="00634114" w:rsidRPr="00084DD6" w:rsidRDefault="00634114" w:rsidP="00CD1425">
      <w:pPr>
        <w:pStyle w:val="BalloonText"/>
        <w:rPr>
          <w:sz w:val="2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7279" w14:textId="77777777" w:rsidR="004E6245" w:rsidRDefault="004E6245" w:rsidP="005730BF">
    <w:pPr>
      <w:pStyle w:val="Footer"/>
      <w:pBdr>
        <w:bottom w:val="single" w:sz="6" w:space="1" w:color="auto"/>
      </w:pBdr>
      <w:jc w:val="center"/>
    </w:pPr>
  </w:p>
  <w:p w14:paraId="69D98A82" w14:textId="3A390352" w:rsidR="00974F20" w:rsidRPr="003F0EC6" w:rsidRDefault="00E37C57" w:rsidP="00974F20">
    <w:pPr>
      <w:pStyle w:val="Header"/>
      <w:pBdr>
        <w:bottom w:val="single" w:sz="6" w:space="1" w:color="auto"/>
      </w:pBdr>
      <w:jc w:val="center"/>
      <w:rPr>
        <w:rFonts w:eastAsia="Times New Roman"/>
        <w:b/>
        <w:color w:val="000000"/>
      </w:rPr>
    </w:pPr>
    <w:r w:rsidRPr="00E37C57">
      <w:rPr>
        <w:b/>
        <w:i/>
      </w:rPr>
      <w:t xml:space="preserve">Journal of Economics and Management </w:t>
    </w:r>
    <w:proofErr w:type="spellStart"/>
    <w:r w:rsidRPr="00E37C57">
      <w:rPr>
        <w:b/>
        <w:i/>
      </w:rPr>
      <w:t>Scienties</w:t>
    </w:r>
    <w:proofErr w:type="spellEnd"/>
    <w:r w:rsidR="00974F20" w:rsidRPr="00F94539">
      <w:rPr>
        <w:b/>
        <w:i/>
      </w:rPr>
      <w:t>,</w:t>
    </w:r>
    <w:r w:rsidR="00974F20" w:rsidRPr="00F94539">
      <w:rPr>
        <w:rFonts w:eastAsia="Times New Roman"/>
        <w:b/>
        <w:i/>
        <w:color w:val="000000"/>
      </w:rPr>
      <w:t xml:space="preserve"> </w:t>
    </w:r>
    <w:r w:rsidR="003F0EC6">
      <w:rPr>
        <w:rFonts w:eastAsia="Times New Roman"/>
        <w:b/>
        <w:i/>
        <w:color w:val="000000"/>
      </w:rPr>
      <w:t>7</w:t>
    </w:r>
    <w:r w:rsidR="00974F20" w:rsidRPr="00F94539">
      <w:rPr>
        <w:rFonts w:eastAsia="Times New Roman"/>
        <w:b/>
        <w:color w:val="000000"/>
      </w:rPr>
      <w:t>(</w:t>
    </w:r>
    <w:r w:rsidR="003F0EC6">
      <w:rPr>
        <w:rFonts w:eastAsia="Times New Roman"/>
        <w:b/>
        <w:color w:val="000000"/>
      </w:rPr>
      <w:t>3</w:t>
    </w:r>
    <w:r w:rsidR="00974F20" w:rsidRPr="00F94539">
      <w:rPr>
        <w:rFonts w:eastAsia="Times New Roman"/>
        <w:b/>
        <w:color w:val="000000"/>
      </w:rPr>
      <w:t xml:space="preserve">), </w:t>
    </w:r>
    <w:r w:rsidR="00974F20" w:rsidRPr="00F94539">
      <w:rPr>
        <w:rFonts w:eastAsia="Times New Roman"/>
        <w:b/>
        <w:color w:val="000000"/>
        <w:lang w:val="id-ID"/>
      </w:rPr>
      <w:t>1</w:t>
    </w:r>
    <w:r w:rsidR="003F0EC6">
      <w:rPr>
        <w:rFonts w:eastAsia="Times New Roman"/>
        <w:b/>
        <w:color w:val="000000"/>
      </w:rPr>
      <w:t>84</w:t>
    </w:r>
    <w:r w:rsidR="00974F20" w:rsidRPr="00F94539">
      <w:rPr>
        <w:rFonts w:eastAsia="Times New Roman"/>
        <w:b/>
        <w:color w:val="000000"/>
        <w:lang w:val="id-ID"/>
      </w:rPr>
      <w:t>-</w:t>
    </w:r>
    <w:r w:rsidR="003F0EC6">
      <w:rPr>
        <w:rFonts w:eastAsia="Times New Roman"/>
        <w:b/>
        <w:color w:val="000000"/>
      </w:rPr>
      <w:t>192</w:t>
    </w:r>
  </w:p>
  <w:p w14:paraId="59A3957C" w14:textId="77777777" w:rsidR="004E6245" w:rsidRDefault="004E6245" w:rsidP="004E6245">
    <w:pPr>
      <w:pStyle w:val="Footer"/>
      <w:jc w:val="center"/>
    </w:pPr>
    <w:r>
      <w:fldChar w:fldCharType="begin"/>
    </w:r>
    <w:r>
      <w:instrText xml:space="preserve"> PAGE   \* MERGEFORMAT </w:instrText>
    </w:r>
    <w:r>
      <w:fldChar w:fldCharType="separate"/>
    </w:r>
    <w:r w:rsidR="00252E1C">
      <w:rPr>
        <w:noProof/>
      </w:rPr>
      <w:t>3</w:t>
    </w:r>
    <w:r>
      <w:rPr>
        <w:noProof/>
      </w:rPr>
      <w:fldChar w:fldCharType="end"/>
    </w:r>
  </w:p>
  <w:p w14:paraId="73AAA457" w14:textId="77777777" w:rsidR="004E6245" w:rsidRDefault="004E6245" w:rsidP="004E6245">
    <w:pPr>
      <w:pStyle w:val="Footer"/>
    </w:pPr>
  </w:p>
  <w:p w14:paraId="746F85D4" w14:textId="77777777" w:rsidR="004E6245" w:rsidRDefault="004E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CA56" w14:textId="77777777" w:rsidR="004E6245" w:rsidRDefault="005F2A02" w:rsidP="00A46E47">
    <w:pPr>
      <w:pStyle w:val="Footer"/>
      <w:pBdr>
        <w:bottom w:val="single" w:sz="6" w:space="1" w:color="auto"/>
      </w:pBdr>
      <w:jc w:val="center"/>
    </w:pPr>
    <w:r>
      <w:t xml:space="preserve"> </w:t>
    </w:r>
  </w:p>
  <w:p w14:paraId="64271198" w14:textId="77777777" w:rsidR="004E6245" w:rsidRPr="00B8331B" w:rsidRDefault="004E6245" w:rsidP="004E6245">
    <w:pPr>
      <w:pStyle w:val="Footer"/>
      <w:jc w:val="center"/>
    </w:pPr>
    <w:r w:rsidRPr="00B8331B">
      <w:fldChar w:fldCharType="begin"/>
    </w:r>
    <w:r w:rsidRPr="00B8331B">
      <w:instrText xml:space="preserve"> PAGE   \* MERGEFORMAT </w:instrText>
    </w:r>
    <w:r w:rsidRPr="00B8331B">
      <w:fldChar w:fldCharType="separate"/>
    </w:r>
    <w:r w:rsidR="00252E1C">
      <w:rPr>
        <w:noProof/>
      </w:rPr>
      <w:t>1</w:t>
    </w:r>
    <w:r w:rsidRPr="00B8331B">
      <w:rPr>
        <w:noProof/>
      </w:rPr>
      <w:fldChar w:fldCharType="end"/>
    </w:r>
  </w:p>
  <w:p w14:paraId="49DAD194" w14:textId="77777777" w:rsidR="004E6245" w:rsidRDefault="004E6245" w:rsidP="004E6245">
    <w:pPr>
      <w:pStyle w:val="Footer"/>
    </w:pPr>
  </w:p>
  <w:p w14:paraId="6AA7010A" w14:textId="77777777" w:rsidR="004E6245" w:rsidRPr="004E6245" w:rsidRDefault="004E6245" w:rsidP="004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2EFD6" w14:textId="77777777" w:rsidR="00634114" w:rsidRPr="00084DD6" w:rsidRDefault="00634114" w:rsidP="00CD1425">
      <w:pPr>
        <w:pStyle w:val="BalloonText"/>
        <w:rPr>
          <w:sz w:val="20"/>
          <w:szCs w:val="22"/>
        </w:rPr>
      </w:pPr>
      <w:r>
        <w:separator/>
      </w:r>
    </w:p>
  </w:footnote>
  <w:footnote w:type="continuationSeparator" w:id="0">
    <w:p w14:paraId="529C5435" w14:textId="77777777" w:rsidR="00634114" w:rsidRPr="00084DD6" w:rsidRDefault="00634114" w:rsidP="00CD1425">
      <w:pPr>
        <w:pStyle w:val="BalloonText"/>
        <w:rPr>
          <w:sz w:val="20"/>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C42E" w14:textId="77777777" w:rsidR="00094A90" w:rsidRDefault="00094A90" w:rsidP="00094A90">
    <w:pPr>
      <w:pStyle w:val="Header"/>
    </w:pPr>
  </w:p>
  <w:p w14:paraId="4AE6FC37" w14:textId="6DD0AB4B" w:rsidR="009937A7" w:rsidRPr="00111E7B" w:rsidRDefault="00736B51" w:rsidP="006D6736">
    <w:pPr>
      <w:pStyle w:val="Header"/>
      <w:pBdr>
        <w:bottom w:val="single" w:sz="4" w:space="1" w:color="auto"/>
      </w:pBdr>
      <w:rPr>
        <w:b/>
        <w:i/>
      </w:rPr>
    </w:pPr>
    <w:proofErr w:type="spellStart"/>
    <w:r w:rsidRPr="00736B51">
      <w:rPr>
        <w:b/>
        <w:i/>
      </w:rPr>
      <w:t>Ghina</w:t>
    </w:r>
    <w:proofErr w:type="spellEnd"/>
    <w:r w:rsidRPr="00736B51">
      <w:rPr>
        <w:b/>
        <w:i/>
      </w:rPr>
      <w:t xml:space="preserve"> Ayu </w:t>
    </w:r>
    <w:proofErr w:type="spellStart"/>
    <w:r w:rsidRPr="00736B51">
      <w:rPr>
        <w:b/>
        <w:i/>
      </w:rPr>
      <w:t>Luthfi’ya</w:t>
    </w:r>
    <w:proofErr w:type="spellEnd"/>
    <w:r w:rsidR="00765FBF" w:rsidRPr="00765FBF">
      <w:rPr>
        <w:b/>
        <w:i/>
      </w:rPr>
      <w:t xml:space="preserve">, </w:t>
    </w:r>
    <w:proofErr w:type="spellStart"/>
    <w:r w:rsidR="00765FBF" w:rsidRPr="00765FBF">
      <w:rPr>
        <w:b/>
        <w:i/>
      </w:rPr>
      <w:t>dkk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664"/>
        </w:tabs>
        <w:ind w:left="1664" w:hanging="180"/>
      </w:pPr>
      <w:rPr>
        <w:rFonts w:hint="default"/>
      </w:rPr>
    </w:lvl>
    <w:lvl w:ilvl="1">
      <w:start w:val="1"/>
      <w:numFmt w:val="none"/>
      <w:suff w:val="nothing"/>
      <w:lvlText w:val=""/>
      <w:lvlJc w:val="left"/>
      <w:pPr>
        <w:tabs>
          <w:tab w:val="num" w:pos="1484"/>
        </w:tabs>
        <w:ind w:left="1484" w:firstLine="0"/>
      </w:pPr>
    </w:lvl>
    <w:lvl w:ilvl="2">
      <w:start w:val="1"/>
      <w:numFmt w:val="none"/>
      <w:suff w:val="nothing"/>
      <w:lvlText w:val=""/>
      <w:lvlJc w:val="left"/>
      <w:pPr>
        <w:tabs>
          <w:tab w:val="num" w:pos="1484"/>
        </w:tabs>
        <w:ind w:left="1484" w:firstLine="0"/>
      </w:pPr>
    </w:lvl>
    <w:lvl w:ilvl="3">
      <w:start w:val="1"/>
      <w:numFmt w:val="none"/>
      <w:suff w:val="nothing"/>
      <w:lvlText w:val=""/>
      <w:lvlJc w:val="left"/>
      <w:pPr>
        <w:tabs>
          <w:tab w:val="num" w:pos="1484"/>
        </w:tabs>
        <w:ind w:left="1484" w:firstLine="0"/>
      </w:pPr>
    </w:lvl>
    <w:lvl w:ilvl="4">
      <w:start w:val="1"/>
      <w:numFmt w:val="none"/>
      <w:suff w:val="nothing"/>
      <w:lvlText w:val=""/>
      <w:lvlJc w:val="left"/>
      <w:pPr>
        <w:tabs>
          <w:tab w:val="num" w:pos="1484"/>
        </w:tabs>
        <w:ind w:left="1484" w:firstLine="0"/>
      </w:pPr>
    </w:lvl>
    <w:lvl w:ilvl="5">
      <w:start w:val="1"/>
      <w:numFmt w:val="none"/>
      <w:suff w:val="nothing"/>
      <w:lvlText w:val=""/>
      <w:lvlJc w:val="left"/>
      <w:pPr>
        <w:tabs>
          <w:tab w:val="num" w:pos="1484"/>
        </w:tabs>
        <w:ind w:left="1484" w:firstLine="0"/>
      </w:pPr>
    </w:lvl>
    <w:lvl w:ilvl="6">
      <w:start w:val="1"/>
      <w:numFmt w:val="none"/>
      <w:suff w:val="nothing"/>
      <w:lvlText w:val=""/>
      <w:lvlJc w:val="left"/>
      <w:pPr>
        <w:tabs>
          <w:tab w:val="num" w:pos="1484"/>
        </w:tabs>
        <w:ind w:left="1484" w:firstLine="0"/>
      </w:pPr>
    </w:lvl>
    <w:lvl w:ilvl="7">
      <w:start w:val="1"/>
      <w:numFmt w:val="none"/>
      <w:suff w:val="nothing"/>
      <w:lvlText w:val=""/>
      <w:lvlJc w:val="left"/>
      <w:pPr>
        <w:tabs>
          <w:tab w:val="num" w:pos="1484"/>
        </w:tabs>
        <w:ind w:left="1484" w:firstLine="0"/>
      </w:pPr>
    </w:lvl>
    <w:lvl w:ilvl="8">
      <w:start w:val="1"/>
      <w:numFmt w:val="none"/>
      <w:suff w:val="nothing"/>
      <w:lvlText w:val=""/>
      <w:lvlJc w:val="left"/>
      <w:pPr>
        <w:tabs>
          <w:tab w:val="num" w:pos="1484"/>
        </w:tabs>
        <w:ind w:left="1484" w:firstLine="0"/>
      </w:pPr>
    </w:lvl>
  </w:abstractNum>
  <w:abstractNum w:abstractNumId="1" w15:restartNumberingAfterBreak="0">
    <w:nsid w:val="02897EEA"/>
    <w:multiLevelType w:val="hybridMultilevel"/>
    <w:tmpl w:val="1D209F6A"/>
    <w:lvl w:ilvl="0" w:tplc="B6AA34A2">
      <w:start w:val="1"/>
      <w:numFmt w:val="decimal"/>
      <w:lvlText w:val="3.3.%1."/>
      <w:lvlJc w:val="left"/>
      <w:pPr>
        <w:ind w:left="4755"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A06E4C"/>
    <w:multiLevelType w:val="hybridMultilevel"/>
    <w:tmpl w:val="348A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55B0"/>
    <w:multiLevelType w:val="hybridMultilevel"/>
    <w:tmpl w:val="16C0409A"/>
    <w:lvl w:ilvl="0" w:tplc="1460F21A">
      <w:start w:val="1"/>
      <w:numFmt w:val="decimal"/>
      <w:lvlText w:val="%1."/>
      <w:lvlJc w:val="left"/>
      <w:pPr>
        <w:ind w:left="425" w:hanging="232"/>
      </w:pPr>
      <w:rPr>
        <w:rFonts w:ascii="Times New Roman" w:eastAsia="Times New Roman" w:hAnsi="Times New Roman" w:cs="Times New Roman" w:hint="default"/>
        <w:b/>
        <w:bCs/>
        <w:i w:val="0"/>
        <w:iCs w:val="0"/>
        <w:spacing w:val="0"/>
        <w:w w:val="100"/>
        <w:sz w:val="20"/>
        <w:szCs w:val="20"/>
        <w:lang w:val="id" w:eastAsia="en-US" w:bidi="ar-SA"/>
      </w:rPr>
    </w:lvl>
    <w:lvl w:ilvl="1" w:tplc="0D6E81BA">
      <w:start w:val="1"/>
      <w:numFmt w:val="lowerLetter"/>
      <w:lvlText w:val="%2)"/>
      <w:lvlJc w:val="left"/>
      <w:pPr>
        <w:ind w:left="709" w:hanging="284"/>
      </w:pPr>
      <w:rPr>
        <w:rFonts w:hint="default"/>
        <w:spacing w:val="0"/>
        <w:w w:val="100"/>
        <w:lang w:val="id" w:eastAsia="en-US" w:bidi="ar-SA"/>
      </w:rPr>
    </w:lvl>
    <w:lvl w:ilvl="2" w:tplc="0FB86FCC">
      <w:numFmt w:val="bullet"/>
      <w:lvlText w:val="•"/>
      <w:lvlJc w:val="left"/>
      <w:pPr>
        <w:ind w:left="1661" w:hanging="284"/>
      </w:pPr>
      <w:rPr>
        <w:rFonts w:hint="default"/>
        <w:lang w:val="id" w:eastAsia="en-US" w:bidi="ar-SA"/>
      </w:rPr>
    </w:lvl>
    <w:lvl w:ilvl="3" w:tplc="59AA23B2">
      <w:numFmt w:val="bullet"/>
      <w:lvlText w:val="•"/>
      <w:lvlJc w:val="left"/>
      <w:pPr>
        <w:ind w:left="2623" w:hanging="284"/>
      </w:pPr>
      <w:rPr>
        <w:rFonts w:hint="default"/>
        <w:lang w:val="id" w:eastAsia="en-US" w:bidi="ar-SA"/>
      </w:rPr>
    </w:lvl>
    <w:lvl w:ilvl="4" w:tplc="EB46912A">
      <w:numFmt w:val="bullet"/>
      <w:lvlText w:val="•"/>
      <w:lvlJc w:val="left"/>
      <w:pPr>
        <w:ind w:left="3585" w:hanging="284"/>
      </w:pPr>
      <w:rPr>
        <w:rFonts w:hint="default"/>
        <w:lang w:val="id" w:eastAsia="en-US" w:bidi="ar-SA"/>
      </w:rPr>
    </w:lvl>
    <w:lvl w:ilvl="5" w:tplc="779E8C60">
      <w:numFmt w:val="bullet"/>
      <w:lvlText w:val="•"/>
      <w:lvlJc w:val="left"/>
      <w:pPr>
        <w:ind w:left="4547" w:hanging="284"/>
      </w:pPr>
      <w:rPr>
        <w:rFonts w:hint="default"/>
        <w:lang w:val="id" w:eastAsia="en-US" w:bidi="ar-SA"/>
      </w:rPr>
    </w:lvl>
    <w:lvl w:ilvl="6" w:tplc="E6BE9F5A">
      <w:numFmt w:val="bullet"/>
      <w:lvlText w:val="•"/>
      <w:lvlJc w:val="left"/>
      <w:pPr>
        <w:ind w:left="5509" w:hanging="284"/>
      </w:pPr>
      <w:rPr>
        <w:rFonts w:hint="default"/>
        <w:lang w:val="id" w:eastAsia="en-US" w:bidi="ar-SA"/>
      </w:rPr>
    </w:lvl>
    <w:lvl w:ilvl="7" w:tplc="D292AAEA">
      <w:numFmt w:val="bullet"/>
      <w:lvlText w:val="•"/>
      <w:lvlJc w:val="left"/>
      <w:pPr>
        <w:ind w:left="6471" w:hanging="284"/>
      </w:pPr>
      <w:rPr>
        <w:rFonts w:hint="default"/>
        <w:lang w:val="id" w:eastAsia="en-US" w:bidi="ar-SA"/>
      </w:rPr>
    </w:lvl>
    <w:lvl w:ilvl="8" w:tplc="69AEBA62">
      <w:numFmt w:val="bullet"/>
      <w:lvlText w:val="•"/>
      <w:lvlJc w:val="left"/>
      <w:pPr>
        <w:ind w:left="7433" w:hanging="284"/>
      </w:pPr>
      <w:rPr>
        <w:rFonts w:hint="default"/>
        <w:lang w:val="id" w:eastAsia="en-US" w:bidi="ar-SA"/>
      </w:rPr>
    </w:lvl>
  </w:abstractNum>
  <w:abstractNum w:abstractNumId="4" w15:restartNumberingAfterBreak="0">
    <w:nsid w:val="1571505A"/>
    <w:multiLevelType w:val="hybridMultilevel"/>
    <w:tmpl w:val="B6F8C340"/>
    <w:lvl w:ilvl="0" w:tplc="0D6E81BA">
      <w:start w:val="1"/>
      <w:numFmt w:val="lowerLetter"/>
      <w:lvlText w:val="%1)"/>
      <w:lvlJc w:val="left"/>
      <w:pPr>
        <w:ind w:left="709" w:hanging="284"/>
      </w:pPr>
      <w:rPr>
        <w:rFonts w:hint="default"/>
        <w:spacing w:val="0"/>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83669"/>
    <w:multiLevelType w:val="hybridMultilevel"/>
    <w:tmpl w:val="15386196"/>
    <w:lvl w:ilvl="0" w:tplc="04090017">
      <w:start w:val="1"/>
      <w:numFmt w:val="lowerLetter"/>
      <w:lvlText w:val="%1)"/>
      <w:lvlJc w:val="left"/>
      <w:pPr>
        <w:ind w:left="709" w:hanging="284"/>
      </w:pPr>
      <w:rPr>
        <w:rFonts w:hint="default"/>
        <w:spacing w:val="0"/>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590199"/>
    <w:multiLevelType w:val="hybridMultilevel"/>
    <w:tmpl w:val="D78225D0"/>
    <w:lvl w:ilvl="0" w:tplc="0D6E81BA">
      <w:start w:val="1"/>
      <w:numFmt w:val="lowerLetter"/>
      <w:lvlText w:val="%1)"/>
      <w:lvlJc w:val="left"/>
      <w:pPr>
        <w:ind w:left="425" w:hanging="284"/>
      </w:pPr>
      <w:rPr>
        <w:rFonts w:hint="default"/>
        <w:b w:val="0"/>
        <w:bCs w:val="0"/>
        <w:i w:val="0"/>
        <w:iCs w:val="0"/>
        <w:spacing w:val="0"/>
        <w:w w:val="100"/>
        <w:sz w:val="20"/>
        <w:szCs w:val="20"/>
        <w:lang w:val="id" w:eastAsia="en-US" w:bidi="ar-SA"/>
      </w:rPr>
    </w:lvl>
    <w:lvl w:ilvl="1" w:tplc="4D4812FE">
      <w:numFmt w:val="bullet"/>
      <w:lvlText w:val="•"/>
      <w:lvlJc w:val="left"/>
      <w:pPr>
        <w:ind w:left="1313" w:hanging="284"/>
      </w:pPr>
      <w:rPr>
        <w:rFonts w:hint="default"/>
        <w:lang w:val="id" w:eastAsia="en-US" w:bidi="ar-SA"/>
      </w:rPr>
    </w:lvl>
    <w:lvl w:ilvl="2" w:tplc="E648199A">
      <w:numFmt w:val="bullet"/>
      <w:lvlText w:val="•"/>
      <w:lvlJc w:val="left"/>
      <w:pPr>
        <w:ind w:left="2207" w:hanging="284"/>
      </w:pPr>
      <w:rPr>
        <w:rFonts w:hint="default"/>
        <w:lang w:val="id" w:eastAsia="en-US" w:bidi="ar-SA"/>
      </w:rPr>
    </w:lvl>
    <w:lvl w:ilvl="3" w:tplc="AEA0A710">
      <w:numFmt w:val="bullet"/>
      <w:lvlText w:val="•"/>
      <w:lvlJc w:val="left"/>
      <w:pPr>
        <w:ind w:left="3101" w:hanging="284"/>
      </w:pPr>
      <w:rPr>
        <w:rFonts w:hint="default"/>
        <w:lang w:val="id" w:eastAsia="en-US" w:bidi="ar-SA"/>
      </w:rPr>
    </w:lvl>
    <w:lvl w:ilvl="4" w:tplc="A05C7ADA">
      <w:numFmt w:val="bullet"/>
      <w:lvlText w:val="•"/>
      <w:lvlJc w:val="left"/>
      <w:pPr>
        <w:ind w:left="3994" w:hanging="284"/>
      </w:pPr>
      <w:rPr>
        <w:rFonts w:hint="default"/>
        <w:lang w:val="id" w:eastAsia="en-US" w:bidi="ar-SA"/>
      </w:rPr>
    </w:lvl>
    <w:lvl w:ilvl="5" w:tplc="9DC6214C">
      <w:numFmt w:val="bullet"/>
      <w:lvlText w:val="•"/>
      <w:lvlJc w:val="left"/>
      <w:pPr>
        <w:ind w:left="4888" w:hanging="284"/>
      </w:pPr>
      <w:rPr>
        <w:rFonts w:hint="default"/>
        <w:lang w:val="id" w:eastAsia="en-US" w:bidi="ar-SA"/>
      </w:rPr>
    </w:lvl>
    <w:lvl w:ilvl="6" w:tplc="ADDEC33E">
      <w:numFmt w:val="bullet"/>
      <w:lvlText w:val="•"/>
      <w:lvlJc w:val="left"/>
      <w:pPr>
        <w:ind w:left="5782" w:hanging="284"/>
      </w:pPr>
      <w:rPr>
        <w:rFonts w:hint="default"/>
        <w:lang w:val="id" w:eastAsia="en-US" w:bidi="ar-SA"/>
      </w:rPr>
    </w:lvl>
    <w:lvl w:ilvl="7" w:tplc="CB0C1E74">
      <w:numFmt w:val="bullet"/>
      <w:lvlText w:val="•"/>
      <w:lvlJc w:val="left"/>
      <w:pPr>
        <w:ind w:left="6675" w:hanging="284"/>
      </w:pPr>
      <w:rPr>
        <w:rFonts w:hint="default"/>
        <w:lang w:val="id" w:eastAsia="en-US" w:bidi="ar-SA"/>
      </w:rPr>
    </w:lvl>
    <w:lvl w:ilvl="8" w:tplc="B156DE7C">
      <w:numFmt w:val="bullet"/>
      <w:lvlText w:val="•"/>
      <w:lvlJc w:val="left"/>
      <w:pPr>
        <w:ind w:left="7569" w:hanging="284"/>
      </w:pPr>
      <w:rPr>
        <w:rFonts w:hint="default"/>
        <w:lang w:val="id" w:eastAsia="en-US" w:bidi="ar-SA"/>
      </w:rPr>
    </w:lvl>
  </w:abstractNum>
  <w:abstractNum w:abstractNumId="7" w15:restartNumberingAfterBreak="0">
    <w:nsid w:val="21A73BFF"/>
    <w:multiLevelType w:val="hybridMultilevel"/>
    <w:tmpl w:val="7554851E"/>
    <w:lvl w:ilvl="0" w:tplc="75327998">
      <w:start w:val="1"/>
      <w:numFmt w:val="decimal"/>
      <w:lvlText w:val="%1."/>
      <w:lvlJc w:val="left"/>
      <w:pPr>
        <w:ind w:left="709" w:hanging="284"/>
      </w:pPr>
      <w:rPr>
        <w:rFonts w:ascii="Times New Roman" w:eastAsia="Times New Roman" w:hAnsi="Times New Roman" w:cs="Times New Roman" w:hint="default"/>
        <w:b w:val="0"/>
        <w:bCs w:val="0"/>
        <w:i w:val="0"/>
        <w:iCs w:val="0"/>
        <w:spacing w:val="0"/>
        <w:w w:val="100"/>
        <w:sz w:val="20"/>
        <w:szCs w:val="20"/>
        <w:lang w:val="id" w:eastAsia="en-US" w:bidi="ar-SA"/>
      </w:rPr>
    </w:lvl>
    <w:lvl w:ilvl="1" w:tplc="210AD9A4">
      <w:numFmt w:val="bullet"/>
      <w:lvlText w:val="•"/>
      <w:lvlJc w:val="left"/>
      <w:pPr>
        <w:ind w:left="1565" w:hanging="284"/>
      </w:pPr>
      <w:rPr>
        <w:rFonts w:hint="default"/>
        <w:lang w:val="id" w:eastAsia="en-US" w:bidi="ar-SA"/>
      </w:rPr>
    </w:lvl>
    <w:lvl w:ilvl="2" w:tplc="0DE2E2A6">
      <w:numFmt w:val="bullet"/>
      <w:lvlText w:val="•"/>
      <w:lvlJc w:val="left"/>
      <w:pPr>
        <w:ind w:left="2431" w:hanging="284"/>
      </w:pPr>
      <w:rPr>
        <w:rFonts w:hint="default"/>
        <w:lang w:val="id" w:eastAsia="en-US" w:bidi="ar-SA"/>
      </w:rPr>
    </w:lvl>
    <w:lvl w:ilvl="3" w:tplc="81FAE3BA">
      <w:numFmt w:val="bullet"/>
      <w:lvlText w:val="•"/>
      <w:lvlJc w:val="left"/>
      <w:pPr>
        <w:ind w:left="3297" w:hanging="284"/>
      </w:pPr>
      <w:rPr>
        <w:rFonts w:hint="default"/>
        <w:lang w:val="id" w:eastAsia="en-US" w:bidi="ar-SA"/>
      </w:rPr>
    </w:lvl>
    <w:lvl w:ilvl="4" w:tplc="F446A1A4">
      <w:numFmt w:val="bullet"/>
      <w:lvlText w:val="•"/>
      <w:lvlJc w:val="left"/>
      <w:pPr>
        <w:ind w:left="4162" w:hanging="284"/>
      </w:pPr>
      <w:rPr>
        <w:rFonts w:hint="default"/>
        <w:lang w:val="id" w:eastAsia="en-US" w:bidi="ar-SA"/>
      </w:rPr>
    </w:lvl>
    <w:lvl w:ilvl="5" w:tplc="9EB2AFAE">
      <w:numFmt w:val="bullet"/>
      <w:lvlText w:val="•"/>
      <w:lvlJc w:val="left"/>
      <w:pPr>
        <w:ind w:left="5028" w:hanging="284"/>
      </w:pPr>
      <w:rPr>
        <w:rFonts w:hint="default"/>
        <w:lang w:val="id" w:eastAsia="en-US" w:bidi="ar-SA"/>
      </w:rPr>
    </w:lvl>
    <w:lvl w:ilvl="6" w:tplc="3B046A5E">
      <w:numFmt w:val="bullet"/>
      <w:lvlText w:val="•"/>
      <w:lvlJc w:val="left"/>
      <w:pPr>
        <w:ind w:left="5894" w:hanging="284"/>
      </w:pPr>
      <w:rPr>
        <w:rFonts w:hint="default"/>
        <w:lang w:val="id" w:eastAsia="en-US" w:bidi="ar-SA"/>
      </w:rPr>
    </w:lvl>
    <w:lvl w:ilvl="7" w:tplc="1062BEC8">
      <w:numFmt w:val="bullet"/>
      <w:lvlText w:val="•"/>
      <w:lvlJc w:val="left"/>
      <w:pPr>
        <w:ind w:left="6759" w:hanging="284"/>
      </w:pPr>
      <w:rPr>
        <w:rFonts w:hint="default"/>
        <w:lang w:val="id" w:eastAsia="en-US" w:bidi="ar-SA"/>
      </w:rPr>
    </w:lvl>
    <w:lvl w:ilvl="8" w:tplc="9CF4AF24">
      <w:numFmt w:val="bullet"/>
      <w:lvlText w:val="•"/>
      <w:lvlJc w:val="left"/>
      <w:pPr>
        <w:ind w:left="7625" w:hanging="284"/>
      </w:pPr>
      <w:rPr>
        <w:rFonts w:hint="default"/>
        <w:lang w:val="id" w:eastAsia="en-US" w:bidi="ar-SA"/>
      </w:rPr>
    </w:lvl>
  </w:abstractNum>
  <w:abstractNum w:abstractNumId="8" w15:restartNumberingAfterBreak="0">
    <w:nsid w:val="2D334C54"/>
    <w:multiLevelType w:val="hybridMultilevel"/>
    <w:tmpl w:val="A59E1330"/>
    <w:lvl w:ilvl="0" w:tplc="04090017">
      <w:start w:val="1"/>
      <w:numFmt w:val="lowerLetter"/>
      <w:lvlText w:val="%1)"/>
      <w:lvlJc w:val="left"/>
      <w:pPr>
        <w:ind w:left="1364" w:hanging="284"/>
      </w:pPr>
      <w:rPr>
        <w:rFonts w:hint="default"/>
        <w:spacing w:val="0"/>
        <w:w w:val="100"/>
        <w:lang w:val="id" w:eastAsia="en-US" w:bidi="ar-SA"/>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9"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A64773"/>
    <w:multiLevelType w:val="hybridMultilevel"/>
    <w:tmpl w:val="D7987EEE"/>
    <w:lvl w:ilvl="0" w:tplc="3008FEE6">
      <w:start w:val="1"/>
      <w:numFmt w:val="decimal"/>
      <w:lvlText w:val="3.%1."/>
      <w:lvlJc w:val="left"/>
      <w:pPr>
        <w:ind w:left="40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C91F49"/>
    <w:multiLevelType w:val="hybridMultilevel"/>
    <w:tmpl w:val="0B122D9C"/>
    <w:lvl w:ilvl="0" w:tplc="1460F21A">
      <w:start w:val="1"/>
      <w:numFmt w:val="decimal"/>
      <w:lvlText w:val="%1."/>
      <w:lvlJc w:val="left"/>
      <w:pPr>
        <w:ind w:left="425" w:hanging="232"/>
      </w:pPr>
      <w:rPr>
        <w:rFonts w:ascii="Times New Roman" w:eastAsia="Times New Roman" w:hAnsi="Times New Roman" w:cs="Times New Roman" w:hint="default"/>
        <w:b/>
        <w:bCs/>
        <w:i w:val="0"/>
        <w:iCs w:val="0"/>
        <w:spacing w:val="0"/>
        <w:w w:val="100"/>
        <w:sz w:val="20"/>
        <w:szCs w:val="20"/>
        <w:lang w:val="id" w:eastAsia="en-US" w:bidi="ar-SA"/>
      </w:rPr>
    </w:lvl>
    <w:lvl w:ilvl="1" w:tplc="39FCC0E2">
      <w:start w:val="1"/>
      <w:numFmt w:val="decimal"/>
      <w:lvlText w:val="%2."/>
      <w:lvlJc w:val="left"/>
      <w:pPr>
        <w:ind w:left="709" w:hanging="284"/>
      </w:pPr>
      <w:rPr>
        <w:rFonts w:hint="default"/>
        <w:spacing w:val="0"/>
        <w:w w:val="100"/>
        <w:lang w:val="id" w:eastAsia="en-US" w:bidi="ar-SA"/>
      </w:rPr>
    </w:lvl>
    <w:lvl w:ilvl="2" w:tplc="0FB86FCC">
      <w:numFmt w:val="bullet"/>
      <w:lvlText w:val="•"/>
      <w:lvlJc w:val="left"/>
      <w:pPr>
        <w:ind w:left="1661" w:hanging="284"/>
      </w:pPr>
      <w:rPr>
        <w:rFonts w:hint="default"/>
        <w:lang w:val="id" w:eastAsia="en-US" w:bidi="ar-SA"/>
      </w:rPr>
    </w:lvl>
    <w:lvl w:ilvl="3" w:tplc="59AA23B2">
      <w:numFmt w:val="bullet"/>
      <w:lvlText w:val="•"/>
      <w:lvlJc w:val="left"/>
      <w:pPr>
        <w:ind w:left="2623" w:hanging="284"/>
      </w:pPr>
      <w:rPr>
        <w:rFonts w:hint="default"/>
        <w:lang w:val="id" w:eastAsia="en-US" w:bidi="ar-SA"/>
      </w:rPr>
    </w:lvl>
    <w:lvl w:ilvl="4" w:tplc="EB46912A">
      <w:numFmt w:val="bullet"/>
      <w:lvlText w:val="•"/>
      <w:lvlJc w:val="left"/>
      <w:pPr>
        <w:ind w:left="3585" w:hanging="284"/>
      </w:pPr>
      <w:rPr>
        <w:rFonts w:hint="default"/>
        <w:lang w:val="id" w:eastAsia="en-US" w:bidi="ar-SA"/>
      </w:rPr>
    </w:lvl>
    <w:lvl w:ilvl="5" w:tplc="779E8C60">
      <w:numFmt w:val="bullet"/>
      <w:lvlText w:val="•"/>
      <w:lvlJc w:val="left"/>
      <w:pPr>
        <w:ind w:left="4547" w:hanging="284"/>
      </w:pPr>
      <w:rPr>
        <w:rFonts w:hint="default"/>
        <w:lang w:val="id" w:eastAsia="en-US" w:bidi="ar-SA"/>
      </w:rPr>
    </w:lvl>
    <w:lvl w:ilvl="6" w:tplc="E6BE9F5A">
      <w:numFmt w:val="bullet"/>
      <w:lvlText w:val="•"/>
      <w:lvlJc w:val="left"/>
      <w:pPr>
        <w:ind w:left="5509" w:hanging="284"/>
      </w:pPr>
      <w:rPr>
        <w:rFonts w:hint="default"/>
        <w:lang w:val="id" w:eastAsia="en-US" w:bidi="ar-SA"/>
      </w:rPr>
    </w:lvl>
    <w:lvl w:ilvl="7" w:tplc="D292AAEA">
      <w:numFmt w:val="bullet"/>
      <w:lvlText w:val="•"/>
      <w:lvlJc w:val="left"/>
      <w:pPr>
        <w:ind w:left="6471" w:hanging="284"/>
      </w:pPr>
      <w:rPr>
        <w:rFonts w:hint="default"/>
        <w:lang w:val="id" w:eastAsia="en-US" w:bidi="ar-SA"/>
      </w:rPr>
    </w:lvl>
    <w:lvl w:ilvl="8" w:tplc="69AEBA62">
      <w:numFmt w:val="bullet"/>
      <w:lvlText w:val="•"/>
      <w:lvlJc w:val="left"/>
      <w:pPr>
        <w:ind w:left="7433" w:hanging="284"/>
      </w:pPr>
      <w:rPr>
        <w:rFonts w:hint="default"/>
        <w:lang w:val="id" w:eastAsia="en-US" w:bidi="ar-SA"/>
      </w:rPr>
    </w:lvl>
  </w:abstractNum>
  <w:abstractNum w:abstractNumId="12" w15:restartNumberingAfterBreak="0">
    <w:nsid w:val="3EDB1FA6"/>
    <w:multiLevelType w:val="hybridMultilevel"/>
    <w:tmpl w:val="4AC4D1CC"/>
    <w:lvl w:ilvl="0" w:tplc="4C387D9C">
      <w:start w:val="1"/>
      <w:numFmt w:val="lowerLetter"/>
      <w:lvlText w:val="%1)"/>
      <w:lvlJc w:val="left"/>
      <w:pPr>
        <w:ind w:left="709" w:hanging="284"/>
      </w:pPr>
      <w:rPr>
        <w:rFonts w:hint="default"/>
        <w:b w:val="0"/>
        <w:bCs w:val="0"/>
        <w:i w:val="0"/>
        <w:iCs w:val="0"/>
        <w:color w:val="auto"/>
        <w:spacing w:val="0"/>
        <w:w w:val="100"/>
        <w:sz w:val="20"/>
        <w:szCs w:val="20"/>
        <w:lang w:val="id" w:eastAsia="en-US" w:bidi="ar-SA"/>
      </w:rPr>
    </w:lvl>
    <w:lvl w:ilvl="1" w:tplc="1A30F136">
      <w:numFmt w:val="bullet"/>
      <w:lvlText w:val="•"/>
      <w:lvlJc w:val="left"/>
      <w:pPr>
        <w:ind w:left="1565" w:hanging="284"/>
      </w:pPr>
      <w:rPr>
        <w:rFonts w:hint="default"/>
        <w:lang w:val="id" w:eastAsia="en-US" w:bidi="ar-SA"/>
      </w:rPr>
    </w:lvl>
    <w:lvl w:ilvl="2" w:tplc="5C26754E">
      <w:numFmt w:val="bullet"/>
      <w:lvlText w:val="•"/>
      <w:lvlJc w:val="left"/>
      <w:pPr>
        <w:ind w:left="2431" w:hanging="284"/>
      </w:pPr>
      <w:rPr>
        <w:rFonts w:hint="default"/>
        <w:lang w:val="id" w:eastAsia="en-US" w:bidi="ar-SA"/>
      </w:rPr>
    </w:lvl>
    <w:lvl w:ilvl="3" w:tplc="D4929058">
      <w:numFmt w:val="bullet"/>
      <w:lvlText w:val="•"/>
      <w:lvlJc w:val="left"/>
      <w:pPr>
        <w:ind w:left="3297" w:hanging="284"/>
      </w:pPr>
      <w:rPr>
        <w:rFonts w:hint="default"/>
        <w:lang w:val="id" w:eastAsia="en-US" w:bidi="ar-SA"/>
      </w:rPr>
    </w:lvl>
    <w:lvl w:ilvl="4" w:tplc="10088272">
      <w:numFmt w:val="bullet"/>
      <w:lvlText w:val="•"/>
      <w:lvlJc w:val="left"/>
      <w:pPr>
        <w:ind w:left="4162" w:hanging="284"/>
      </w:pPr>
      <w:rPr>
        <w:rFonts w:hint="default"/>
        <w:lang w:val="id" w:eastAsia="en-US" w:bidi="ar-SA"/>
      </w:rPr>
    </w:lvl>
    <w:lvl w:ilvl="5" w:tplc="F8903C14">
      <w:numFmt w:val="bullet"/>
      <w:lvlText w:val="•"/>
      <w:lvlJc w:val="left"/>
      <w:pPr>
        <w:ind w:left="5028" w:hanging="284"/>
      </w:pPr>
      <w:rPr>
        <w:rFonts w:hint="default"/>
        <w:lang w:val="id" w:eastAsia="en-US" w:bidi="ar-SA"/>
      </w:rPr>
    </w:lvl>
    <w:lvl w:ilvl="6" w:tplc="3820771C">
      <w:numFmt w:val="bullet"/>
      <w:lvlText w:val="•"/>
      <w:lvlJc w:val="left"/>
      <w:pPr>
        <w:ind w:left="5894" w:hanging="284"/>
      </w:pPr>
      <w:rPr>
        <w:rFonts w:hint="default"/>
        <w:lang w:val="id" w:eastAsia="en-US" w:bidi="ar-SA"/>
      </w:rPr>
    </w:lvl>
    <w:lvl w:ilvl="7" w:tplc="FF60AB06">
      <w:numFmt w:val="bullet"/>
      <w:lvlText w:val="•"/>
      <w:lvlJc w:val="left"/>
      <w:pPr>
        <w:ind w:left="6759" w:hanging="284"/>
      </w:pPr>
      <w:rPr>
        <w:rFonts w:hint="default"/>
        <w:lang w:val="id" w:eastAsia="en-US" w:bidi="ar-SA"/>
      </w:rPr>
    </w:lvl>
    <w:lvl w:ilvl="8" w:tplc="7CF2CFF4">
      <w:numFmt w:val="bullet"/>
      <w:lvlText w:val="•"/>
      <w:lvlJc w:val="left"/>
      <w:pPr>
        <w:ind w:left="7625" w:hanging="284"/>
      </w:pPr>
      <w:rPr>
        <w:rFonts w:hint="default"/>
        <w:lang w:val="id" w:eastAsia="en-US" w:bidi="ar-SA"/>
      </w:rPr>
    </w:lvl>
  </w:abstractNum>
  <w:abstractNum w:abstractNumId="13" w15:restartNumberingAfterBreak="0">
    <w:nsid w:val="400C4BEC"/>
    <w:multiLevelType w:val="hybridMultilevel"/>
    <w:tmpl w:val="DD9433E0"/>
    <w:lvl w:ilvl="0" w:tplc="4C387D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7301E"/>
    <w:multiLevelType w:val="hybridMultilevel"/>
    <w:tmpl w:val="30D8371A"/>
    <w:lvl w:ilvl="0" w:tplc="39FCC0E2">
      <w:start w:val="1"/>
      <w:numFmt w:val="decimal"/>
      <w:lvlText w:val="%1."/>
      <w:lvlJc w:val="left"/>
      <w:pPr>
        <w:ind w:left="709" w:hanging="284"/>
      </w:pPr>
      <w:rPr>
        <w:rFonts w:hint="default"/>
        <w:spacing w:val="0"/>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952F8E"/>
    <w:multiLevelType w:val="hybridMultilevel"/>
    <w:tmpl w:val="413C137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E4737"/>
    <w:multiLevelType w:val="hybridMultilevel"/>
    <w:tmpl w:val="33CA3DA6"/>
    <w:lvl w:ilvl="0" w:tplc="51D01E2A">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87D2B"/>
    <w:multiLevelType w:val="hybridMultilevel"/>
    <w:tmpl w:val="DD9433E0"/>
    <w:lvl w:ilvl="0" w:tplc="4C387D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10165"/>
    <w:multiLevelType w:val="hybridMultilevel"/>
    <w:tmpl w:val="C3401070"/>
    <w:lvl w:ilvl="0" w:tplc="135E4A42">
      <w:start w:val="1"/>
      <w:numFmt w:val="decimal"/>
      <w:lvlText w:val="%1."/>
      <w:lvlJc w:val="left"/>
      <w:pPr>
        <w:ind w:left="425" w:hanging="284"/>
      </w:pPr>
      <w:rPr>
        <w:rFonts w:ascii="Times New Roman" w:eastAsia="Times New Roman" w:hAnsi="Times New Roman" w:cs="Times New Roman" w:hint="default"/>
        <w:b w:val="0"/>
        <w:bCs w:val="0"/>
        <w:i w:val="0"/>
        <w:iCs w:val="0"/>
        <w:spacing w:val="0"/>
        <w:w w:val="100"/>
        <w:sz w:val="20"/>
        <w:szCs w:val="20"/>
        <w:lang w:val="id" w:eastAsia="en-US" w:bidi="ar-SA"/>
      </w:rPr>
    </w:lvl>
    <w:lvl w:ilvl="1" w:tplc="4D4812FE">
      <w:numFmt w:val="bullet"/>
      <w:lvlText w:val="•"/>
      <w:lvlJc w:val="left"/>
      <w:pPr>
        <w:ind w:left="1313" w:hanging="284"/>
      </w:pPr>
      <w:rPr>
        <w:rFonts w:hint="default"/>
        <w:lang w:val="id" w:eastAsia="en-US" w:bidi="ar-SA"/>
      </w:rPr>
    </w:lvl>
    <w:lvl w:ilvl="2" w:tplc="E648199A">
      <w:numFmt w:val="bullet"/>
      <w:lvlText w:val="•"/>
      <w:lvlJc w:val="left"/>
      <w:pPr>
        <w:ind w:left="2207" w:hanging="284"/>
      </w:pPr>
      <w:rPr>
        <w:rFonts w:hint="default"/>
        <w:lang w:val="id" w:eastAsia="en-US" w:bidi="ar-SA"/>
      </w:rPr>
    </w:lvl>
    <w:lvl w:ilvl="3" w:tplc="AEA0A710">
      <w:numFmt w:val="bullet"/>
      <w:lvlText w:val="•"/>
      <w:lvlJc w:val="left"/>
      <w:pPr>
        <w:ind w:left="3101" w:hanging="284"/>
      </w:pPr>
      <w:rPr>
        <w:rFonts w:hint="default"/>
        <w:lang w:val="id" w:eastAsia="en-US" w:bidi="ar-SA"/>
      </w:rPr>
    </w:lvl>
    <w:lvl w:ilvl="4" w:tplc="A05C7ADA">
      <w:numFmt w:val="bullet"/>
      <w:lvlText w:val="•"/>
      <w:lvlJc w:val="left"/>
      <w:pPr>
        <w:ind w:left="3994" w:hanging="284"/>
      </w:pPr>
      <w:rPr>
        <w:rFonts w:hint="default"/>
        <w:lang w:val="id" w:eastAsia="en-US" w:bidi="ar-SA"/>
      </w:rPr>
    </w:lvl>
    <w:lvl w:ilvl="5" w:tplc="9DC6214C">
      <w:numFmt w:val="bullet"/>
      <w:lvlText w:val="•"/>
      <w:lvlJc w:val="left"/>
      <w:pPr>
        <w:ind w:left="4888" w:hanging="284"/>
      </w:pPr>
      <w:rPr>
        <w:rFonts w:hint="default"/>
        <w:lang w:val="id" w:eastAsia="en-US" w:bidi="ar-SA"/>
      </w:rPr>
    </w:lvl>
    <w:lvl w:ilvl="6" w:tplc="ADDEC33E">
      <w:numFmt w:val="bullet"/>
      <w:lvlText w:val="•"/>
      <w:lvlJc w:val="left"/>
      <w:pPr>
        <w:ind w:left="5782" w:hanging="284"/>
      </w:pPr>
      <w:rPr>
        <w:rFonts w:hint="default"/>
        <w:lang w:val="id" w:eastAsia="en-US" w:bidi="ar-SA"/>
      </w:rPr>
    </w:lvl>
    <w:lvl w:ilvl="7" w:tplc="CB0C1E74">
      <w:numFmt w:val="bullet"/>
      <w:lvlText w:val="•"/>
      <w:lvlJc w:val="left"/>
      <w:pPr>
        <w:ind w:left="6675" w:hanging="284"/>
      </w:pPr>
      <w:rPr>
        <w:rFonts w:hint="default"/>
        <w:lang w:val="id" w:eastAsia="en-US" w:bidi="ar-SA"/>
      </w:rPr>
    </w:lvl>
    <w:lvl w:ilvl="8" w:tplc="B156DE7C">
      <w:numFmt w:val="bullet"/>
      <w:lvlText w:val="•"/>
      <w:lvlJc w:val="left"/>
      <w:pPr>
        <w:ind w:left="7569" w:hanging="284"/>
      </w:pPr>
      <w:rPr>
        <w:rFonts w:hint="default"/>
        <w:lang w:val="id" w:eastAsia="en-US" w:bidi="ar-SA"/>
      </w:rPr>
    </w:lvl>
  </w:abstractNum>
  <w:abstractNum w:abstractNumId="19"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44546"/>
    <w:multiLevelType w:val="hybridMultilevel"/>
    <w:tmpl w:val="BCAA37F2"/>
    <w:lvl w:ilvl="0" w:tplc="C5249052">
      <w:start w:val="1"/>
      <w:numFmt w:val="decimal"/>
      <w:lvlText w:val="%1)"/>
      <w:lvlJc w:val="left"/>
      <w:pPr>
        <w:ind w:left="425" w:hanging="284"/>
      </w:pPr>
      <w:rPr>
        <w:rFonts w:hint="default"/>
        <w:spacing w:val="0"/>
        <w:w w:val="100"/>
        <w:lang w:val="id" w:eastAsia="en-US" w:bidi="ar-SA"/>
      </w:rPr>
    </w:lvl>
    <w:lvl w:ilvl="1" w:tplc="0D6E81BA">
      <w:start w:val="1"/>
      <w:numFmt w:val="lowerLetter"/>
      <w:lvlText w:val="%2)"/>
      <w:lvlJc w:val="left"/>
      <w:pPr>
        <w:ind w:left="709" w:hanging="284"/>
      </w:pPr>
      <w:rPr>
        <w:rFonts w:hint="default"/>
        <w:spacing w:val="0"/>
        <w:w w:val="100"/>
        <w:lang w:val="id" w:eastAsia="en-US" w:bidi="ar-SA"/>
      </w:rPr>
    </w:lvl>
    <w:lvl w:ilvl="2" w:tplc="60FABE54">
      <w:numFmt w:val="bullet"/>
      <w:lvlText w:val="•"/>
      <w:lvlJc w:val="left"/>
      <w:pPr>
        <w:ind w:left="1661" w:hanging="284"/>
      </w:pPr>
      <w:rPr>
        <w:rFonts w:hint="default"/>
        <w:lang w:val="id" w:eastAsia="en-US" w:bidi="ar-SA"/>
      </w:rPr>
    </w:lvl>
    <w:lvl w:ilvl="3" w:tplc="19785602">
      <w:numFmt w:val="bullet"/>
      <w:lvlText w:val="•"/>
      <w:lvlJc w:val="left"/>
      <w:pPr>
        <w:ind w:left="2623" w:hanging="284"/>
      </w:pPr>
      <w:rPr>
        <w:rFonts w:hint="default"/>
        <w:lang w:val="id" w:eastAsia="en-US" w:bidi="ar-SA"/>
      </w:rPr>
    </w:lvl>
    <w:lvl w:ilvl="4" w:tplc="F7D09394">
      <w:numFmt w:val="bullet"/>
      <w:lvlText w:val="•"/>
      <w:lvlJc w:val="left"/>
      <w:pPr>
        <w:ind w:left="3585" w:hanging="284"/>
      </w:pPr>
      <w:rPr>
        <w:rFonts w:hint="default"/>
        <w:lang w:val="id" w:eastAsia="en-US" w:bidi="ar-SA"/>
      </w:rPr>
    </w:lvl>
    <w:lvl w:ilvl="5" w:tplc="FB684938">
      <w:numFmt w:val="bullet"/>
      <w:lvlText w:val="•"/>
      <w:lvlJc w:val="left"/>
      <w:pPr>
        <w:ind w:left="4547" w:hanging="284"/>
      </w:pPr>
      <w:rPr>
        <w:rFonts w:hint="default"/>
        <w:lang w:val="id" w:eastAsia="en-US" w:bidi="ar-SA"/>
      </w:rPr>
    </w:lvl>
    <w:lvl w:ilvl="6" w:tplc="7EB41EF4">
      <w:numFmt w:val="bullet"/>
      <w:lvlText w:val="•"/>
      <w:lvlJc w:val="left"/>
      <w:pPr>
        <w:ind w:left="5509" w:hanging="284"/>
      </w:pPr>
      <w:rPr>
        <w:rFonts w:hint="default"/>
        <w:lang w:val="id" w:eastAsia="en-US" w:bidi="ar-SA"/>
      </w:rPr>
    </w:lvl>
    <w:lvl w:ilvl="7" w:tplc="029A4CDE">
      <w:numFmt w:val="bullet"/>
      <w:lvlText w:val="•"/>
      <w:lvlJc w:val="left"/>
      <w:pPr>
        <w:ind w:left="6471" w:hanging="284"/>
      </w:pPr>
      <w:rPr>
        <w:rFonts w:hint="default"/>
        <w:lang w:val="id" w:eastAsia="en-US" w:bidi="ar-SA"/>
      </w:rPr>
    </w:lvl>
    <w:lvl w:ilvl="8" w:tplc="3FE2222E">
      <w:numFmt w:val="bullet"/>
      <w:lvlText w:val="•"/>
      <w:lvlJc w:val="left"/>
      <w:pPr>
        <w:ind w:left="7433" w:hanging="284"/>
      </w:pPr>
      <w:rPr>
        <w:rFonts w:hint="default"/>
        <w:lang w:val="id" w:eastAsia="en-US" w:bidi="ar-SA"/>
      </w:rPr>
    </w:lvl>
  </w:abstractNum>
  <w:abstractNum w:abstractNumId="21"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63250"/>
    <w:multiLevelType w:val="hybridMultilevel"/>
    <w:tmpl w:val="B6F8C340"/>
    <w:lvl w:ilvl="0" w:tplc="0D6E81BA">
      <w:start w:val="1"/>
      <w:numFmt w:val="lowerLetter"/>
      <w:lvlText w:val="%1)"/>
      <w:lvlJc w:val="left"/>
      <w:pPr>
        <w:ind w:left="709" w:hanging="284"/>
      </w:pPr>
      <w:rPr>
        <w:rFonts w:hint="default"/>
        <w:spacing w:val="0"/>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
  </w:num>
  <w:num w:numId="4">
    <w:abstractNumId w:val="16"/>
  </w:num>
  <w:num w:numId="5">
    <w:abstractNumId w:val="9"/>
  </w:num>
  <w:num w:numId="6">
    <w:abstractNumId w:val="19"/>
  </w:num>
  <w:num w:numId="7">
    <w:abstractNumId w:val="15"/>
  </w:num>
  <w:num w:numId="8">
    <w:abstractNumId w:val="20"/>
  </w:num>
  <w:num w:numId="9">
    <w:abstractNumId w:val="11"/>
  </w:num>
  <w:num w:numId="10">
    <w:abstractNumId w:val="18"/>
  </w:num>
  <w:num w:numId="11">
    <w:abstractNumId w:val="7"/>
  </w:num>
  <w:num w:numId="12">
    <w:abstractNumId w:val="12"/>
  </w:num>
  <w:num w:numId="13">
    <w:abstractNumId w:val="10"/>
  </w:num>
  <w:num w:numId="14">
    <w:abstractNumId w:val="1"/>
  </w:num>
  <w:num w:numId="15">
    <w:abstractNumId w:val="14"/>
  </w:num>
  <w:num w:numId="16">
    <w:abstractNumId w:val="8"/>
  </w:num>
  <w:num w:numId="17">
    <w:abstractNumId w:val="22"/>
  </w:num>
  <w:num w:numId="18">
    <w:abstractNumId w:val="4"/>
  </w:num>
  <w:num w:numId="19">
    <w:abstractNumId w:val="6"/>
  </w:num>
  <w:num w:numId="20">
    <w:abstractNumId w:val="3"/>
  </w:num>
  <w:num w:numId="21">
    <w:abstractNumId w:val="13"/>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0876"/>
    <w:rsid w:val="00003197"/>
    <w:rsid w:val="00010A45"/>
    <w:rsid w:val="0001447E"/>
    <w:rsid w:val="00016600"/>
    <w:rsid w:val="00024CC8"/>
    <w:rsid w:val="00026D88"/>
    <w:rsid w:val="000301F4"/>
    <w:rsid w:val="0003138D"/>
    <w:rsid w:val="00042ED4"/>
    <w:rsid w:val="00044C33"/>
    <w:rsid w:val="00046BFC"/>
    <w:rsid w:val="000607F1"/>
    <w:rsid w:val="00060D54"/>
    <w:rsid w:val="00072D40"/>
    <w:rsid w:val="0008062C"/>
    <w:rsid w:val="000845D6"/>
    <w:rsid w:val="00084DD6"/>
    <w:rsid w:val="000858EC"/>
    <w:rsid w:val="000946DC"/>
    <w:rsid w:val="00094A90"/>
    <w:rsid w:val="000A0F9A"/>
    <w:rsid w:val="000A2C2D"/>
    <w:rsid w:val="000A369D"/>
    <w:rsid w:val="000A758F"/>
    <w:rsid w:val="000A7E3D"/>
    <w:rsid w:val="000A7F0A"/>
    <w:rsid w:val="000B06ED"/>
    <w:rsid w:val="000B3B4C"/>
    <w:rsid w:val="000B5811"/>
    <w:rsid w:val="000C048D"/>
    <w:rsid w:val="000D10D5"/>
    <w:rsid w:val="000D18DF"/>
    <w:rsid w:val="000D3FB0"/>
    <w:rsid w:val="000E2373"/>
    <w:rsid w:val="000F41F4"/>
    <w:rsid w:val="000F4FC7"/>
    <w:rsid w:val="000F787C"/>
    <w:rsid w:val="0010035E"/>
    <w:rsid w:val="00111E7B"/>
    <w:rsid w:val="00112747"/>
    <w:rsid w:val="001147D8"/>
    <w:rsid w:val="001601D9"/>
    <w:rsid w:val="00161C67"/>
    <w:rsid w:val="0016633A"/>
    <w:rsid w:val="00187993"/>
    <w:rsid w:val="00195D42"/>
    <w:rsid w:val="00197CF0"/>
    <w:rsid w:val="001A0FB9"/>
    <w:rsid w:val="001A6847"/>
    <w:rsid w:val="001B2F2A"/>
    <w:rsid w:val="001C0CA8"/>
    <w:rsid w:val="001C284F"/>
    <w:rsid w:val="001D02B8"/>
    <w:rsid w:val="001D0E63"/>
    <w:rsid w:val="001D4348"/>
    <w:rsid w:val="001D7D30"/>
    <w:rsid w:val="001E4B9D"/>
    <w:rsid w:val="001E7823"/>
    <w:rsid w:val="001E7F0F"/>
    <w:rsid w:val="001F4048"/>
    <w:rsid w:val="0021181F"/>
    <w:rsid w:val="002166E5"/>
    <w:rsid w:val="0022233B"/>
    <w:rsid w:val="00222F99"/>
    <w:rsid w:val="00225B73"/>
    <w:rsid w:val="002275AF"/>
    <w:rsid w:val="00242F91"/>
    <w:rsid w:val="00250305"/>
    <w:rsid w:val="00252E1C"/>
    <w:rsid w:val="002610C2"/>
    <w:rsid w:val="00272545"/>
    <w:rsid w:val="00275D3F"/>
    <w:rsid w:val="0028580D"/>
    <w:rsid w:val="002867FF"/>
    <w:rsid w:val="00286CFF"/>
    <w:rsid w:val="00287A51"/>
    <w:rsid w:val="002A2F1B"/>
    <w:rsid w:val="002A7164"/>
    <w:rsid w:val="002B59DA"/>
    <w:rsid w:val="002C2CDD"/>
    <w:rsid w:val="002D0B61"/>
    <w:rsid w:val="002D1CD9"/>
    <w:rsid w:val="002D2C14"/>
    <w:rsid w:val="002D338D"/>
    <w:rsid w:val="002E5823"/>
    <w:rsid w:val="002F2A68"/>
    <w:rsid w:val="002F6CF0"/>
    <w:rsid w:val="00300816"/>
    <w:rsid w:val="00311004"/>
    <w:rsid w:val="00312E01"/>
    <w:rsid w:val="0033201F"/>
    <w:rsid w:val="0033205A"/>
    <w:rsid w:val="00336008"/>
    <w:rsid w:val="00350982"/>
    <w:rsid w:val="00350EF2"/>
    <w:rsid w:val="0035169D"/>
    <w:rsid w:val="003555F2"/>
    <w:rsid w:val="00355D7E"/>
    <w:rsid w:val="003577F2"/>
    <w:rsid w:val="00361AC6"/>
    <w:rsid w:val="00376E0A"/>
    <w:rsid w:val="0038381C"/>
    <w:rsid w:val="003964A3"/>
    <w:rsid w:val="00397A71"/>
    <w:rsid w:val="00397ABF"/>
    <w:rsid w:val="003A325F"/>
    <w:rsid w:val="003A61FB"/>
    <w:rsid w:val="003B496A"/>
    <w:rsid w:val="003B7C52"/>
    <w:rsid w:val="003C0EE1"/>
    <w:rsid w:val="003C2390"/>
    <w:rsid w:val="003E4E90"/>
    <w:rsid w:val="003E55A5"/>
    <w:rsid w:val="003F0EC6"/>
    <w:rsid w:val="003F4478"/>
    <w:rsid w:val="003F56D0"/>
    <w:rsid w:val="004129BC"/>
    <w:rsid w:val="0043087A"/>
    <w:rsid w:val="004363C1"/>
    <w:rsid w:val="00437181"/>
    <w:rsid w:val="0045623F"/>
    <w:rsid w:val="0045661F"/>
    <w:rsid w:val="004673B7"/>
    <w:rsid w:val="00474709"/>
    <w:rsid w:val="004936A3"/>
    <w:rsid w:val="00496258"/>
    <w:rsid w:val="004A0196"/>
    <w:rsid w:val="004A6011"/>
    <w:rsid w:val="004B25F4"/>
    <w:rsid w:val="004B505B"/>
    <w:rsid w:val="004C2FA8"/>
    <w:rsid w:val="004C7DDA"/>
    <w:rsid w:val="004E1E84"/>
    <w:rsid w:val="004E41AA"/>
    <w:rsid w:val="004E51DC"/>
    <w:rsid w:val="004E6245"/>
    <w:rsid w:val="004E6386"/>
    <w:rsid w:val="004F372D"/>
    <w:rsid w:val="004F7CFF"/>
    <w:rsid w:val="00500385"/>
    <w:rsid w:val="00505806"/>
    <w:rsid w:val="005133E0"/>
    <w:rsid w:val="005264E9"/>
    <w:rsid w:val="00535B2C"/>
    <w:rsid w:val="005427B9"/>
    <w:rsid w:val="005527F9"/>
    <w:rsid w:val="00561596"/>
    <w:rsid w:val="005642CE"/>
    <w:rsid w:val="005730BF"/>
    <w:rsid w:val="00577BB5"/>
    <w:rsid w:val="00584D40"/>
    <w:rsid w:val="00595323"/>
    <w:rsid w:val="005A0B55"/>
    <w:rsid w:val="005A4A40"/>
    <w:rsid w:val="005B3F1D"/>
    <w:rsid w:val="005B4516"/>
    <w:rsid w:val="005C7CF0"/>
    <w:rsid w:val="005D16BC"/>
    <w:rsid w:val="005D26D4"/>
    <w:rsid w:val="005E3976"/>
    <w:rsid w:val="005F2A02"/>
    <w:rsid w:val="00607C88"/>
    <w:rsid w:val="00610015"/>
    <w:rsid w:val="00620822"/>
    <w:rsid w:val="006279F5"/>
    <w:rsid w:val="00634114"/>
    <w:rsid w:val="00636BAF"/>
    <w:rsid w:val="006518BB"/>
    <w:rsid w:val="00654228"/>
    <w:rsid w:val="00666FC1"/>
    <w:rsid w:val="00670B39"/>
    <w:rsid w:val="00670B5F"/>
    <w:rsid w:val="00672940"/>
    <w:rsid w:val="00673739"/>
    <w:rsid w:val="00675479"/>
    <w:rsid w:val="00675D76"/>
    <w:rsid w:val="0068158A"/>
    <w:rsid w:val="00683633"/>
    <w:rsid w:val="006837C8"/>
    <w:rsid w:val="00694EB8"/>
    <w:rsid w:val="00696A5F"/>
    <w:rsid w:val="00696ADB"/>
    <w:rsid w:val="0069712A"/>
    <w:rsid w:val="006A60CE"/>
    <w:rsid w:val="006B010E"/>
    <w:rsid w:val="006B3072"/>
    <w:rsid w:val="006C0587"/>
    <w:rsid w:val="006C0ACB"/>
    <w:rsid w:val="006D6736"/>
    <w:rsid w:val="006E0764"/>
    <w:rsid w:val="006E31C2"/>
    <w:rsid w:val="006F3FF8"/>
    <w:rsid w:val="006F67F0"/>
    <w:rsid w:val="0070156A"/>
    <w:rsid w:val="00716970"/>
    <w:rsid w:val="007206AB"/>
    <w:rsid w:val="00736B51"/>
    <w:rsid w:val="00737E85"/>
    <w:rsid w:val="00740DAC"/>
    <w:rsid w:val="00741AC4"/>
    <w:rsid w:val="007434EF"/>
    <w:rsid w:val="00754E42"/>
    <w:rsid w:val="00754EA6"/>
    <w:rsid w:val="007616B8"/>
    <w:rsid w:val="00762ADE"/>
    <w:rsid w:val="00765457"/>
    <w:rsid w:val="00765FBF"/>
    <w:rsid w:val="007726BF"/>
    <w:rsid w:val="00773F59"/>
    <w:rsid w:val="007843F9"/>
    <w:rsid w:val="00785D18"/>
    <w:rsid w:val="007860ED"/>
    <w:rsid w:val="00796666"/>
    <w:rsid w:val="007973D0"/>
    <w:rsid w:val="007A3B37"/>
    <w:rsid w:val="007B3C6A"/>
    <w:rsid w:val="007B7B22"/>
    <w:rsid w:val="007C114D"/>
    <w:rsid w:val="007C177B"/>
    <w:rsid w:val="007C1C07"/>
    <w:rsid w:val="007C4879"/>
    <w:rsid w:val="007C665C"/>
    <w:rsid w:val="007D6930"/>
    <w:rsid w:val="007E294B"/>
    <w:rsid w:val="008037B5"/>
    <w:rsid w:val="0080395F"/>
    <w:rsid w:val="00806D3A"/>
    <w:rsid w:val="00807C9E"/>
    <w:rsid w:val="0081526C"/>
    <w:rsid w:val="008159A7"/>
    <w:rsid w:val="00822FE4"/>
    <w:rsid w:val="00823B5D"/>
    <w:rsid w:val="00824934"/>
    <w:rsid w:val="008471A7"/>
    <w:rsid w:val="00847F3A"/>
    <w:rsid w:val="00850EB0"/>
    <w:rsid w:val="00854C35"/>
    <w:rsid w:val="0085793F"/>
    <w:rsid w:val="008642E7"/>
    <w:rsid w:val="00864FB1"/>
    <w:rsid w:val="00872D02"/>
    <w:rsid w:val="00885D6E"/>
    <w:rsid w:val="00893E00"/>
    <w:rsid w:val="008952F5"/>
    <w:rsid w:val="008A2590"/>
    <w:rsid w:val="008A2756"/>
    <w:rsid w:val="008B138A"/>
    <w:rsid w:val="008C522F"/>
    <w:rsid w:val="008D5762"/>
    <w:rsid w:val="008D6BCE"/>
    <w:rsid w:val="008E0729"/>
    <w:rsid w:val="008E48F8"/>
    <w:rsid w:val="008F101E"/>
    <w:rsid w:val="008F1E9F"/>
    <w:rsid w:val="008F251C"/>
    <w:rsid w:val="008F5586"/>
    <w:rsid w:val="00904900"/>
    <w:rsid w:val="00905D70"/>
    <w:rsid w:val="0090759E"/>
    <w:rsid w:val="00921849"/>
    <w:rsid w:val="009358BC"/>
    <w:rsid w:val="0094457F"/>
    <w:rsid w:val="00950006"/>
    <w:rsid w:val="00952222"/>
    <w:rsid w:val="00955106"/>
    <w:rsid w:val="00961222"/>
    <w:rsid w:val="0096274F"/>
    <w:rsid w:val="00972A29"/>
    <w:rsid w:val="00974F20"/>
    <w:rsid w:val="009772E5"/>
    <w:rsid w:val="0097759B"/>
    <w:rsid w:val="00982F61"/>
    <w:rsid w:val="00984DDB"/>
    <w:rsid w:val="00985734"/>
    <w:rsid w:val="0099312C"/>
    <w:rsid w:val="009937A7"/>
    <w:rsid w:val="009956A7"/>
    <w:rsid w:val="009A0365"/>
    <w:rsid w:val="009A364C"/>
    <w:rsid w:val="009A624F"/>
    <w:rsid w:val="009C1397"/>
    <w:rsid w:val="009C3A17"/>
    <w:rsid w:val="009D452B"/>
    <w:rsid w:val="009D7252"/>
    <w:rsid w:val="009E5D8D"/>
    <w:rsid w:val="00A10EFB"/>
    <w:rsid w:val="00A12CC1"/>
    <w:rsid w:val="00A145B8"/>
    <w:rsid w:val="00A14C9B"/>
    <w:rsid w:val="00A159FB"/>
    <w:rsid w:val="00A31772"/>
    <w:rsid w:val="00A337A5"/>
    <w:rsid w:val="00A43730"/>
    <w:rsid w:val="00A46E47"/>
    <w:rsid w:val="00A50E7E"/>
    <w:rsid w:val="00A54107"/>
    <w:rsid w:val="00A6429C"/>
    <w:rsid w:val="00A668E7"/>
    <w:rsid w:val="00A6771A"/>
    <w:rsid w:val="00A677E3"/>
    <w:rsid w:val="00A72093"/>
    <w:rsid w:val="00A76D96"/>
    <w:rsid w:val="00A80CEA"/>
    <w:rsid w:val="00A94B13"/>
    <w:rsid w:val="00A94B52"/>
    <w:rsid w:val="00A95F71"/>
    <w:rsid w:val="00AA00FE"/>
    <w:rsid w:val="00AB0E53"/>
    <w:rsid w:val="00AB500F"/>
    <w:rsid w:val="00AB5433"/>
    <w:rsid w:val="00AB7CF4"/>
    <w:rsid w:val="00AC51FE"/>
    <w:rsid w:val="00AD45A3"/>
    <w:rsid w:val="00AD59C9"/>
    <w:rsid w:val="00AD7F80"/>
    <w:rsid w:val="00AE6E4F"/>
    <w:rsid w:val="00AF114A"/>
    <w:rsid w:val="00AF1745"/>
    <w:rsid w:val="00AF2375"/>
    <w:rsid w:val="00B2471E"/>
    <w:rsid w:val="00B26F8F"/>
    <w:rsid w:val="00B278B4"/>
    <w:rsid w:val="00B33B25"/>
    <w:rsid w:val="00B428C4"/>
    <w:rsid w:val="00B5409E"/>
    <w:rsid w:val="00B5525C"/>
    <w:rsid w:val="00B60412"/>
    <w:rsid w:val="00B81344"/>
    <w:rsid w:val="00B83D7B"/>
    <w:rsid w:val="00B84070"/>
    <w:rsid w:val="00B8448D"/>
    <w:rsid w:val="00B84C63"/>
    <w:rsid w:val="00BA41D4"/>
    <w:rsid w:val="00BD259B"/>
    <w:rsid w:val="00BD48FF"/>
    <w:rsid w:val="00BD6072"/>
    <w:rsid w:val="00BE210E"/>
    <w:rsid w:val="00BE2F95"/>
    <w:rsid w:val="00BF4EFB"/>
    <w:rsid w:val="00C02C35"/>
    <w:rsid w:val="00C035BA"/>
    <w:rsid w:val="00C036BD"/>
    <w:rsid w:val="00C07D04"/>
    <w:rsid w:val="00C11438"/>
    <w:rsid w:val="00C13857"/>
    <w:rsid w:val="00C3168D"/>
    <w:rsid w:val="00C36191"/>
    <w:rsid w:val="00C4432B"/>
    <w:rsid w:val="00C47408"/>
    <w:rsid w:val="00C54738"/>
    <w:rsid w:val="00C57533"/>
    <w:rsid w:val="00C62267"/>
    <w:rsid w:val="00C640F9"/>
    <w:rsid w:val="00C643DB"/>
    <w:rsid w:val="00C72667"/>
    <w:rsid w:val="00C845F2"/>
    <w:rsid w:val="00C90E19"/>
    <w:rsid w:val="00C93FC5"/>
    <w:rsid w:val="00CA43FE"/>
    <w:rsid w:val="00CA63B2"/>
    <w:rsid w:val="00CB0AEC"/>
    <w:rsid w:val="00CB1E81"/>
    <w:rsid w:val="00CC72FE"/>
    <w:rsid w:val="00CD1425"/>
    <w:rsid w:val="00CD3EAE"/>
    <w:rsid w:val="00CD5508"/>
    <w:rsid w:val="00CD6AA1"/>
    <w:rsid w:val="00CE06C8"/>
    <w:rsid w:val="00CF0D98"/>
    <w:rsid w:val="00CF519A"/>
    <w:rsid w:val="00CF55B2"/>
    <w:rsid w:val="00D102E9"/>
    <w:rsid w:val="00D15248"/>
    <w:rsid w:val="00D25829"/>
    <w:rsid w:val="00D33DC1"/>
    <w:rsid w:val="00D35DCE"/>
    <w:rsid w:val="00D41C26"/>
    <w:rsid w:val="00D41DA8"/>
    <w:rsid w:val="00D443A6"/>
    <w:rsid w:val="00D4479F"/>
    <w:rsid w:val="00D5771A"/>
    <w:rsid w:val="00D63AFC"/>
    <w:rsid w:val="00D7609F"/>
    <w:rsid w:val="00D76F4D"/>
    <w:rsid w:val="00D9272E"/>
    <w:rsid w:val="00D9467E"/>
    <w:rsid w:val="00DD60E7"/>
    <w:rsid w:val="00DE1CAC"/>
    <w:rsid w:val="00DE4B33"/>
    <w:rsid w:val="00DE54AB"/>
    <w:rsid w:val="00DE7388"/>
    <w:rsid w:val="00DF0D98"/>
    <w:rsid w:val="00E0204E"/>
    <w:rsid w:val="00E10275"/>
    <w:rsid w:val="00E10DA3"/>
    <w:rsid w:val="00E10F39"/>
    <w:rsid w:val="00E14521"/>
    <w:rsid w:val="00E23D61"/>
    <w:rsid w:val="00E279F7"/>
    <w:rsid w:val="00E37C57"/>
    <w:rsid w:val="00E425B8"/>
    <w:rsid w:val="00E450E4"/>
    <w:rsid w:val="00E61729"/>
    <w:rsid w:val="00E623F7"/>
    <w:rsid w:val="00E634F5"/>
    <w:rsid w:val="00E76756"/>
    <w:rsid w:val="00E805C7"/>
    <w:rsid w:val="00EA2224"/>
    <w:rsid w:val="00EC36EB"/>
    <w:rsid w:val="00EC718D"/>
    <w:rsid w:val="00ED3704"/>
    <w:rsid w:val="00ED5A05"/>
    <w:rsid w:val="00EE2991"/>
    <w:rsid w:val="00EE3127"/>
    <w:rsid w:val="00EF0823"/>
    <w:rsid w:val="00EF32D2"/>
    <w:rsid w:val="00F05112"/>
    <w:rsid w:val="00F051E6"/>
    <w:rsid w:val="00F05D60"/>
    <w:rsid w:val="00F12B74"/>
    <w:rsid w:val="00F16CA7"/>
    <w:rsid w:val="00F25D4B"/>
    <w:rsid w:val="00F26EED"/>
    <w:rsid w:val="00F42FD9"/>
    <w:rsid w:val="00F44DF6"/>
    <w:rsid w:val="00F552FD"/>
    <w:rsid w:val="00F602FD"/>
    <w:rsid w:val="00F606CC"/>
    <w:rsid w:val="00F659CD"/>
    <w:rsid w:val="00F739FF"/>
    <w:rsid w:val="00F76D99"/>
    <w:rsid w:val="00F837B4"/>
    <w:rsid w:val="00FA01B7"/>
    <w:rsid w:val="00FA6CEF"/>
    <w:rsid w:val="00FA73E1"/>
    <w:rsid w:val="00FB136E"/>
    <w:rsid w:val="00FB52CD"/>
    <w:rsid w:val="00FD3AD2"/>
    <w:rsid w:val="00FD6A54"/>
    <w:rsid w:val="00FE4436"/>
    <w:rsid w:val="00FF06AD"/>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0DCB0"/>
  <w15:chartTrackingRefBased/>
  <w15:docId w15:val="{962DF1F7-BAFB-4426-826B-B83F2E40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70"/>
    <w:pPr>
      <w:spacing w:after="240"/>
      <w:jc w:val="both"/>
    </w:pPr>
    <w:rPr>
      <w:rFonts w:ascii="Times New Roman" w:hAnsi="Times New Roman"/>
      <w:szCs w:val="22"/>
    </w:rPr>
  </w:style>
  <w:style w:type="paragraph" w:styleId="Heading1">
    <w:name w:val="heading 1"/>
    <w:aliases w:val="BabUtama"/>
    <w:basedOn w:val="Normal"/>
    <w:next w:val="Normal"/>
    <w:link w:val="Heading1Char"/>
    <w:uiPriority w:val="9"/>
    <w:qFormat/>
    <w:rsid w:val="00FF5094"/>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unhideWhenUsed/>
    <w:qFormat/>
    <w:rsid w:val="00CD1425"/>
    <w:pPr>
      <w:keepNext/>
      <w:keepLines/>
      <w:spacing w:before="240"/>
      <w:outlineLvl w:val="1"/>
    </w:pPr>
    <w:rPr>
      <w:rFonts w:eastAsia="Times New Roman"/>
      <w:bCs/>
      <w:i/>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Utama Char"/>
    <w:link w:val="Heading1"/>
    <w:uiPriority w:val="9"/>
    <w:rsid w:val="00FF5094"/>
    <w:rPr>
      <w:rFonts w:ascii="Times New Roman" w:eastAsia="Times New Roman" w:hAnsi="Times New Roman"/>
      <w:b/>
      <w:bCs/>
      <w:szCs w:val="28"/>
      <w:lang w:val="en-US" w:eastAsia="en-US"/>
    </w:rPr>
  </w:style>
  <w:style w:type="character" w:customStyle="1" w:styleId="Heading2Char">
    <w:name w:val="Heading 2 Char"/>
    <w:link w:val="Heading2"/>
    <w:uiPriority w:val="9"/>
    <w:rsid w:val="00CD1425"/>
    <w:rPr>
      <w:rFonts w:ascii="Times New Roman" w:eastAsia="Times New Roman" w:hAnsi="Times New Roman" w:cs="Times New Roman"/>
      <w:bCs/>
      <w:i/>
      <w:sz w:val="20"/>
      <w:szCs w:val="26"/>
      <w:lang w:val="en-US"/>
    </w:rPr>
  </w:style>
  <w:style w:type="paragraph" w:styleId="Title">
    <w:name w:val="Title"/>
    <w:aliases w:val="RestiJudul,Title AJARCDE"/>
    <w:basedOn w:val="Normal"/>
    <w:next w:val="Normal"/>
    <w:link w:val="TitleChar"/>
    <w:autoRedefine/>
    <w:uiPriority w:val="10"/>
    <w:qFormat/>
    <w:rsid w:val="004E6386"/>
    <w:pPr>
      <w:widowControl w:val="0"/>
      <w:spacing w:after="60"/>
      <w:jc w:val="center"/>
    </w:pPr>
    <w:rPr>
      <w:rFonts w:eastAsia="Times New Roman"/>
      <w:b/>
      <w:spacing w:val="5"/>
      <w:kern w:val="28"/>
      <w:sz w:val="30"/>
      <w:szCs w:val="52"/>
    </w:rPr>
  </w:style>
  <w:style w:type="character" w:customStyle="1" w:styleId="TitleChar">
    <w:name w:val="Title Char"/>
    <w:aliases w:val="RestiJudul Char,Title AJARCDE Char"/>
    <w:link w:val="Title"/>
    <w:uiPriority w:val="10"/>
    <w:rsid w:val="004E6386"/>
    <w:rPr>
      <w:rFonts w:ascii="Times New Roman" w:eastAsia="Times New Roman" w:hAnsi="Times New Roman"/>
      <w:b/>
      <w:spacing w:val="5"/>
      <w:kern w:val="28"/>
      <w:sz w:val="30"/>
      <w:szCs w:val="52"/>
    </w:rPr>
  </w:style>
  <w:style w:type="table" w:styleId="TableGrid">
    <w:name w:val="Table Grid"/>
    <w:basedOn w:val="TableNormal"/>
    <w:uiPriority w:val="59"/>
    <w:rsid w:val="00CD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1425"/>
    <w:pPr>
      <w:spacing w:after="0"/>
    </w:pPr>
    <w:rPr>
      <w:rFonts w:ascii="Tahoma" w:hAnsi="Tahoma"/>
      <w:sz w:val="16"/>
      <w:szCs w:val="16"/>
      <w:lang w:eastAsia="x-none"/>
    </w:rPr>
  </w:style>
  <w:style w:type="character" w:customStyle="1" w:styleId="BalloonTextChar">
    <w:name w:val="Balloon Text Char"/>
    <w:link w:val="BalloonText"/>
    <w:uiPriority w:val="99"/>
    <w:semiHidden/>
    <w:rsid w:val="00CD1425"/>
    <w:rPr>
      <w:rFonts w:ascii="Tahoma" w:hAnsi="Tahoma" w:cs="Tahoma"/>
      <w:sz w:val="16"/>
      <w:szCs w:val="16"/>
      <w:lang w:val="en-US"/>
    </w:rPr>
  </w:style>
  <w:style w:type="paragraph" w:customStyle="1" w:styleId="RESTIBodyText">
    <w:name w:val="RESTI_BodyText"/>
    <w:basedOn w:val="BodyText"/>
    <w:rsid w:val="00CD1425"/>
    <w:pPr>
      <w:jc w:val="left"/>
    </w:pPr>
    <w:rPr>
      <w:rFonts w:eastAsia="MS Mincho"/>
      <w:szCs w:val="24"/>
      <w:lang w:eastAsia="ja-JP"/>
    </w:rPr>
  </w:style>
  <w:style w:type="paragraph" w:customStyle="1" w:styleId="TableCaption">
    <w:name w:val="Table Caption"/>
    <w:basedOn w:val="Normal"/>
    <w:rsid w:val="00CD1425"/>
    <w:pPr>
      <w:suppressAutoHyphens/>
      <w:spacing w:after="0"/>
    </w:pPr>
    <w:rPr>
      <w:rFonts w:ascii="Arial" w:eastAsia="Times New Roman" w:hAnsi="Arial"/>
      <w:sz w:val="16"/>
      <w:szCs w:val="24"/>
      <w:lang w:val="en-GB" w:eastAsia="ar-SA"/>
    </w:rPr>
  </w:style>
  <w:style w:type="paragraph" w:customStyle="1" w:styleId="TableCategories">
    <w:name w:val="Table Categories"/>
    <w:basedOn w:val="TableCaption"/>
    <w:rsid w:val="00CD1425"/>
  </w:style>
  <w:style w:type="paragraph" w:styleId="Caption">
    <w:name w:val="caption"/>
    <w:basedOn w:val="Normal"/>
    <w:next w:val="Normal"/>
    <w:uiPriority w:val="35"/>
    <w:unhideWhenUsed/>
    <w:qFormat/>
    <w:rsid w:val="00CD1425"/>
    <w:pPr>
      <w:spacing w:after="0"/>
      <w:jc w:val="center"/>
    </w:pPr>
    <w:rPr>
      <w:bCs/>
      <w:sz w:val="16"/>
      <w:szCs w:val="18"/>
    </w:rPr>
  </w:style>
  <w:style w:type="paragraph" w:customStyle="1" w:styleId="Rujukan">
    <w:name w:val="Rujukan"/>
    <w:basedOn w:val="Normal"/>
    <w:link w:val="RujukanChar"/>
    <w:qFormat/>
    <w:rsid w:val="00CD1425"/>
    <w:pPr>
      <w:autoSpaceDE w:val="0"/>
      <w:autoSpaceDN w:val="0"/>
      <w:adjustRightInd w:val="0"/>
      <w:spacing w:after="0"/>
      <w:ind w:left="272" w:hanging="272"/>
    </w:pPr>
    <w:rPr>
      <w:sz w:val="16"/>
      <w:szCs w:val="20"/>
      <w:lang w:eastAsia="x-none"/>
    </w:rPr>
  </w:style>
  <w:style w:type="character" w:customStyle="1" w:styleId="RujukanChar">
    <w:name w:val="Rujukan Char"/>
    <w:link w:val="Rujukan"/>
    <w:rsid w:val="00CD1425"/>
    <w:rPr>
      <w:rFonts w:ascii="Times New Roman" w:hAnsi="Times New Roman"/>
      <w:sz w:val="16"/>
      <w:lang w:val="en-US"/>
    </w:rPr>
  </w:style>
  <w:style w:type="paragraph" w:styleId="BodyText">
    <w:name w:val="Body Text"/>
    <w:basedOn w:val="Normal"/>
    <w:link w:val="BodyTextChar"/>
    <w:uiPriority w:val="99"/>
    <w:semiHidden/>
    <w:unhideWhenUsed/>
    <w:rsid w:val="00CD1425"/>
    <w:pPr>
      <w:spacing w:after="120"/>
    </w:pPr>
    <w:rPr>
      <w:szCs w:val="20"/>
      <w:lang w:eastAsia="x-none"/>
    </w:rPr>
  </w:style>
  <w:style w:type="character" w:customStyle="1" w:styleId="BodyTextChar">
    <w:name w:val="Body Text Char"/>
    <w:link w:val="BodyText"/>
    <w:uiPriority w:val="99"/>
    <w:semiHidden/>
    <w:rsid w:val="00CD1425"/>
    <w:rPr>
      <w:rFonts w:ascii="Times New Roman" w:hAnsi="Times New Roman"/>
      <w:sz w:val="20"/>
      <w:lang w:val="en-US"/>
    </w:rPr>
  </w:style>
  <w:style w:type="character" w:styleId="Hyperlink">
    <w:name w:val="Hyperlink"/>
    <w:uiPriority w:val="99"/>
    <w:unhideWhenUsed/>
    <w:rsid w:val="00EF32D2"/>
    <w:rPr>
      <w:color w:val="0000FF"/>
      <w:u w:val="single"/>
    </w:rPr>
  </w:style>
  <w:style w:type="paragraph" w:styleId="ListParagraph">
    <w:name w:val="List Paragraph"/>
    <w:basedOn w:val="Normal"/>
    <w:uiPriority w:val="34"/>
    <w:qFormat/>
    <w:rsid w:val="00EF32D2"/>
    <w:pPr>
      <w:ind w:left="720"/>
      <w:contextualSpacing/>
    </w:pPr>
  </w:style>
  <w:style w:type="paragraph" w:styleId="Header">
    <w:name w:val="header"/>
    <w:basedOn w:val="Normal"/>
    <w:link w:val="HeaderChar"/>
    <w:uiPriority w:val="99"/>
    <w:unhideWhenUsed/>
    <w:rsid w:val="009937A7"/>
    <w:pPr>
      <w:tabs>
        <w:tab w:val="center" w:pos="4513"/>
        <w:tab w:val="right" w:pos="9026"/>
      </w:tabs>
      <w:spacing w:after="0"/>
    </w:pPr>
    <w:rPr>
      <w:szCs w:val="20"/>
      <w:lang w:eastAsia="x-none"/>
    </w:rPr>
  </w:style>
  <w:style w:type="character" w:customStyle="1" w:styleId="HeaderChar">
    <w:name w:val="Header Char"/>
    <w:link w:val="Header"/>
    <w:uiPriority w:val="99"/>
    <w:rsid w:val="009937A7"/>
    <w:rPr>
      <w:rFonts w:ascii="Times New Roman" w:hAnsi="Times New Roman"/>
      <w:sz w:val="20"/>
      <w:lang w:val="en-US"/>
    </w:rPr>
  </w:style>
  <w:style w:type="paragraph" w:styleId="Footer">
    <w:name w:val="footer"/>
    <w:basedOn w:val="Normal"/>
    <w:link w:val="FooterChar"/>
    <w:uiPriority w:val="99"/>
    <w:unhideWhenUsed/>
    <w:rsid w:val="009937A7"/>
    <w:pPr>
      <w:tabs>
        <w:tab w:val="center" w:pos="4513"/>
        <w:tab w:val="right" w:pos="9026"/>
      </w:tabs>
      <w:spacing w:after="0"/>
    </w:pPr>
    <w:rPr>
      <w:szCs w:val="20"/>
      <w:lang w:eastAsia="x-none"/>
    </w:rPr>
  </w:style>
  <w:style w:type="character" w:customStyle="1" w:styleId="FooterChar">
    <w:name w:val="Footer Char"/>
    <w:link w:val="Footer"/>
    <w:uiPriority w:val="99"/>
    <w:rsid w:val="009937A7"/>
    <w:rPr>
      <w:rFonts w:ascii="Times New Roman" w:hAnsi="Times New Roman"/>
      <w:sz w:val="20"/>
      <w:lang w:val="en-US"/>
    </w:rPr>
  </w:style>
  <w:style w:type="paragraph" w:customStyle="1" w:styleId="TeksNormal">
    <w:name w:val="Teks Normal"/>
    <w:basedOn w:val="Normal"/>
    <w:qFormat/>
    <w:rsid w:val="00C13857"/>
    <w:pPr>
      <w:spacing w:after="0"/>
      <w:ind w:firstLine="245"/>
    </w:pPr>
    <w:rPr>
      <w:rFonts w:eastAsia="Times New Roman"/>
      <w:szCs w:val="20"/>
      <w:lang w:val="fi-FI"/>
    </w:rPr>
  </w:style>
  <w:style w:type="paragraph" w:customStyle="1" w:styleId="Kode">
    <w:name w:val="Kode"/>
    <w:basedOn w:val="TeksNormal"/>
    <w:qFormat/>
    <w:rsid w:val="00C13857"/>
    <w:pPr>
      <w:ind w:firstLine="0"/>
    </w:pPr>
    <w:rPr>
      <w:rFonts w:ascii="Courier New" w:hAnsi="Courier New"/>
      <w:sz w:val="18"/>
    </w:rPr>
  </w:style>
  <w:style w:type="paragraph" w:customStyle="1" w:styleId="RESTIParagraph">
    <w:name w:val="RESTIParagraph"/>
    <w:basedOn w:val="Normal"/>
    <w:link w:val="RESTIParagraphChar"/>
    <w:rsid w:val="00AF2375"/>
    <w:pPr>
      <w:adjustRightInd w:val="0"/>
      <w:snapToGrid w:val="0"/>
      <w:spacing w:after="0"/>
      <w:ind w:firstLine="216"/>
    </w:pPr>
    <w:rPr>
      <w:rFonts w:eastAsia="SimSun"/>
      <w:sz w:val="24"/>
      <w:szCs w:val="24"/>
      <w:lang w:val="en-AU" w:eastAsia="zh-CN"/>
    </w:rPr>
  </w:style>
  <w:style w:type="character" w:customStyle="1" w:styleId="RESTIParagraphChar">
    <w:name w:val="RESTIParagraph Char"/>
    <w:link w:val="RESTIParagraph"/>
    <w:rsid w:val="00AF2375"/>
    <w:rPr>
      <w:rFonts w:ascii="Times New Roman" w:eastAsia="SimSun" w:hAnsi="Times New Roman"/>
      <w:sz w:val="24"/>
      <w:szCs w:val="24"/>
      <w:lang w:val="en-AU" w:eastAsia="zh-CN"/>
    </w:rPr>
  </w:style>
  <w:style w:type="paragraph" w:styleId="Subtitle">
    <w:name w:val="Subtitle"/>
    <w:aliases w:val="Judul"/>
    <w:basedOn w:val="Normal"/>
    <w:next w:val="Normal"/>
    <w:link w:val="SubtitleChar"/>
    <w:uiPriority w:val="11"/>
    <w:qFormat/>
    <w:rsid w:val="00A10EFB"/>
    <w:pPr>
      <w:spacing w:after="200"/>
      <w:jc w:val="center"/>
      <w:outlineLvl w:val="1"/>
    </w:pPr>
    <w:rPr>
      <w:rFonts w:eastAsia="Times New Roman"/>
      <w:b/>
      <w:sz w:val="30"/>
      <w:szCs w:val="24"/>
    </w:rPr>
  </w:style>
  <w:style w:type="character" w:customStyle="1" w:styleId="SubtitleChar">
    <w:name w:val="Subtitle Char"/>
    <w:aliases w:val="Judul Char"/>
    <w:link w:val="Subtitle"/>
    <w:uiPriority w:val="11"/>
    <w:rsid w:val="00A10EFB"/>
    <w:rPr>
      <w:rFonts w:ascii="Times New Roman" w:eastAsia="Times New Roman" w:hAnsi="Times New Roman"/>
      <w:b/>
      <w:sz w:val="30"/>
      <w:szCs w:val="24"/>
      <w:lang w:val="en-US" w:eastAsia="en-US"/>
    </w:rPr>
  </w:style>
  <w:style w:type="character" w:styleId="SubtleEmphasis">
    <w:name w:val="Subtle Emphasis"/>
    <w:aliases w:val="Penulis"/>
    <w:uiPriority w:val="19"/>
    <w:qFormat/>
    <w:rsid w:val="00A10EFB"/>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link w:val="NoSpacingChar"/>
    <w:uiPriority w:val="1"/>
    <w:qFormat/>
    <w:rsid w:val="00673739"/>
    <w:rPr>
      <w:color w:val="44546A"/>
    </w:rPr>
  </w:style>
  <w:style w:type="character" w:customStyle="1" w:styleId="NoSpacingChar">
    <w:name w:val="No Spacing Char"/>
    <w:link w:val="NoSpacing"/>
    <w:uiPriority w:val="1"/>
    <w:rsid w:val="00673739"/>
    <w:rPr>
      <w:color w:val="44546A"/>
      <w:lang w:val="en-US" w:eastAsia="en-US" w:bidi="ar-SA"/>
    </w:rPr>
  </w:style>
  <w:style w:type="paragraph" w:customStyle="1" w:styleId="RESTITitle">
    <w:name w:val="RESTI_Title"/>
    <w:basedOn w:val="Normal"/>
    <w:next w:val="Normal"/>
    <w:rsid w:val="00673739"/>
    <w:pPr>
      <w:adjustRightInd w:val="0"/>
      <w:snapToGrid w:val="0"/>
      <w:spacing w:before="2560" w:after="0"/>
      <w:jc w:val="center"/>
    </w:pPr>
    <w:rPr>
      <w:rFonts w:eastAsia="SimSun"/>
      <w:sz w:val="36"/>
      <w:szCs w:val="24"/>
      <w:lang w:val="en-AU" w:eastAsia="zh-CN"/>
    </w:rPr>
  </w:style>
  <w:style w:type="paragraph" w:customStyle="1" w:styleId="IJASEITTitle">
    <w:name w:val="IJASEIT Title"/>
    <w:basedOn w:val="Normal"/>
    <w:next w:val="Normal"/>
    <w:rsid w:val="000946DC"/>
    <w:pPr>
      <w:adjustRightInd w:val="0"/>
      <w:snapToGrid w:val="0"/>
      <w:spacing w:before="2560" w:after="0"/>
      <w:jc w:val="center"/>
    </w:pPr>
    <w:rPr>
      <w:rFonts w:eastAsia="SimSun"/>
      <w:sz w:val="36"/>
      <w:szCs w:val="24"/>
      <w:lang w:val="en-AU" w:eastAsia="zh-CN"/>
    </w:rPr>
  </w:style>
  <w:style w:type="paragraph" w:customStyle="1" w:styleId="ISSN">
    <w:name w:val="ISSN"/>
    <w:basedOn w:val="Normal"/>
    <w:rsid w:val="00A12CC1"/>
    <w:pPr>
      <w:spacing w:after="0"/>
      <w:jc w:val="right"/>
    </w:pPr>
    <w:rPr>
      <w:rFonts w:eastAsia="Times New Roman"/>
      <w:b/>
      <w:color w:val="000000"/>
      <w:sz w:val="24"/>
      <w:szCs w:val="16"/>
    </w:rPr>
  </w:style>
  <w:style w:type="character" w:styleId="Strong">
    <w:name w:val="Strong"/>
    <w:uiPriority w:val="22"/>
    <w:qFormat/>
    <w:rsid w:val="00A12CC1"/>
    <w:rPr>
      <w:b/>
      <w:bCs/>
    </w:rPr>
  </w:style>
  <w:style w:type="character" w:customStyle="1" w:styleId="15">
    <w:name w:val="15"/>
    <w:rsid w:val="00A12CC1"/>
    <w:rPr>
      <w:rFonts w:ascii="Calibri" w:hAnsi="Calibri" w:cs="Calibri" w:hint="default"/>
      <w:b w:val="0"/>
      <w:bCs w:val="0"/>
      <w:i w:val="0"/>
      <w:iCs w:val="0"/>
      <w:caps w:val="0"/>
      <w:smallCaps w:val="0"/>
      <w:color w:val="404040"/>
    </w:rPr>
  </w:style>
  <w:style w:type="character" w:styleId="UnresolvedMention">
    <w:name w:val="Unresolved Mention"/>
    <w:uiPriority w:val="99"/>
    <w:semiHidden/>
    <w:unhideWhenUsed/>
    <w:rsid w:val="005730BF"/>
    <w:rPr>
      <w:color w:val="605E5C"/>
      <w:shd w:val="clear" w:color="auto" w:fill="E1DFDD"/>
    </w:rPr>
  </w:style>
  <w:style w:type="paragraph" w:customStyle="1" w:styleId="JIdTIssue">
    <w:name w:val="JIdT_Issue"/>
    <w:basedOn w:val="Normal"/>
    <w:qFormat/>
    <w:rsid w:val="001D0E63"/>
    <w:pPr>
      <w:spacing w:after="0"/>
      <w:jc w:val="left"/>
      <w:outlineLvl w:val="0"/>
    </w:pPr>
    <w:rPr>
      <w:rFonts w:eastAsia="Times New Roman"/>
      <w:sz w:val="19"/>
      <w:szCs w:val="24"/>
      <w:lang w:val="id-ID"/>
    </w:rPr>
  </w:style>
  <w:style w:type="paragraph" w:customStyle="1" w:styleId="JIdTPage">
    <w:name w:val="JIdT_Page"/>
    <w:basedOn w:val="Normal"/>
    <w:qFormat/>
    <w:rsid w:val="001D0E63"/>
    <w:pPr>
      <w:spacing w:after="0"/>
      <w:jc w:val="center"/>
      <w:outlineLvl w:val="0"/>
    </w:pPr>
    <w:rPr>
      <w:rFonts w:eastAsia="Times New Roman"/>
      <w:spacing w:val="20"/>
      <w:sz w:val="19"/>
      <w:szCs w:val="19"/>
      <w:lang w:val="id-ID"/>
    </w:rPr>
  </w:style>
  <w:style w:type="paragraph" w:customStyle="1" w:styleId="JIdTeISSN">
    <w:name w:val="JIdT_eISSN"/>
    <w:basedOn w:val="Normal"/>
    <w:qFormat/>
    <w:rsid w:val="001D0E63"/>
    <w:pPr>
      <w:spacing w:after="0"/>
      <w:jc w:val="center"/>
      <w:outlineLvl w:val="0"/>
    </w:pPr>
    <w:rPr>
      <w:rFonts w:eastAsia="Times New Roman"/>
      <w:sz w:val="19"/>
      <w:szCs w:val="24"/>
      <w:lang w:val="id-ID"/>
    </w:rPr>
  </w:style>
  <w:style w:type="paragraph" w:customStyle="1" w:styleId="JIdTURLs">
    <w:name w:val="JIdT_URLs"/>
    <w:basedOn w:val="Normal"/>
    <w:qFormat/>
    <w:rsid w:val="001D0E63"/>
    <w:pPr>
      <w:spacing w:after="0"/>
      <w:jc w:val="center"/>
      <w:outlineLvl w:val="0"/>
    </w:pPr>
    <w:rPr>
      <w:rFonts w:ascii="Univers" w:eastAsia="Times New Roman" w:hAnsi="Univers"/>
      <w:spacing w:val="20"/>
      <w:sz w:val="17"/>
      <w:szCs w:val="24"/>
    </w:rPr>
  </w:style>
  <w:style w:type="paragraph" w:customStyle="1" w:styleId="JIdTLogo">
    <w:name w:val="JIdT_Logo"/>
    <w:basedOn w:val="Normal"/>
    <w:qFormat/>
    <w:rsid w:val="001D0E63"/>
    <w:pPr>
      <w:spacing w:after="0"/>
      <w:jc w:val="left"/>
    </w:pPr>
    <w:rPr>
      <w:rFonts w:eastAsia="Times New Roman"/>
      <w:sz w:val="24"/>
      <w:szCs w:val="24"/>
    </w:rPr>
  </w:style>
  <w:style w:type="paragraph" w:customStyle="1" w:styleId="IJASEITEquation">
    <w:name w:val="IJASEIT Equation"/>
    <w:basedOn w:val="Normal"/>
    <w:qFormat/>
    <w:rsid w:val="0033201F"/>
    <w:pPr>
      <w:tabs>
        <w:tab w:val="center" w:pos="2438"/>
        <w:tab w:val="right" w:pos="4876"/>
      </w:tabs>
      <w:adjustRightInd w:val="0"/>
      <w:snapToGrid w:val="0"/>
      <w:spacing w:after="0"/>
    </w:pPr>
    <w:rPr>
      <w:rFonts w:eastAsia="SimSun"/>
      <w:szCs w:val="24"/>
      <w:lang w:val="en-AU" w:eastAsia="zh-CN"/>
    </w:rPr>
  </w:style>
  <w:style w:type="paragraph" w:customStyle="1" w:styleId="JIdTJournal">
    <w:name w:val="JIdT_Journal"/>
    <w:basedOn w:val="Normal"/>
    <w:qFormat/>
    <w:rsid w:val="006C0587"/>
    <w:pPr>
      <w:spacing w:after="0"/>
      <w:jc w:val="center"/>
      <w:outlineLvl w:val="0"/>
    </w:pPr>
    <w:rPr>
      <w:rFonts w:eastAsia="Times New Roman"/>
      <w:sz w:val="28"/>
      <w:szCs w:val="24"/>
    </w:rPr>
  </w:style>
  <w:style w:type="paragraph" w:customStyle="1" w:styleId="AJARCDE-Authors">
    <w:name w:val="AJARCDE-Authors"/>
    <w:basedOn w:val="Normal"/>
    <w:next w:val="Normal"/>
    <w:qFormat/>
    <w:rsid w:val="0045661F"/>
    <w:pPr>
      <w:spacing w:before="120" w:after="120" w:line="276" w:lineRule="auto"/>
    </w:pPr>
    <w:rPr>
      <w:i/>
      <w:sz w:val="24"/>
      <w:szCs w:val="24"/>
    </w:rPr>
  </w:style>
  <w:style w:type="paragraph" w:customStyle="1" w:styleId="AJARCDE-Affiliation">
    <w:name w:val="AJARCDE-Affiliation"/>
    <w:basedOn w:val="Normal"/>
    <w:next w:val="Normal"/>
    <w:qFormat/>
    <w:rsid w:val="0045661F"/>
    <w:pPr>
      <w:spacing w:after="0" w:line="276" w:lineRule="auto"/>
    </w:pPr>
    <w:rPr>
      <w:i/>
      <w:sz w:val="16"/>
      <w:szCs w:val="18"/>
    </w:rPr>
  </w:style>
  <w:style w:type="paragraph" w:customStyle="1" w:styleId="AJARCDE-Abstract">
    <w:name w:val="AJARCDE-Abstract"/>
    <w:basedOn w:val="Normal"/>
    <w:next w:val="Normal"/>
    <w:qFormat/>
    <w:rsid w:val="0045661F"/>
    <w:pPr>
      <w:spacing w:before="120" w:after="120" w:line="276" w:lineRule="auto"/>
    </w:pPr>
    <w:rPr>
      <w:sz w:val="16"/>
      <w:szCs w:val="24"/>
    </w:rPr>
  </w:style>
  <w:style w:type="paragraph" w:styleId="NormalWeb">
    <w:name w:val="Normal (Web)"/>
    <w:basedOn w:val="Normal"/>
    <w:uiPriority w:val="99"/>
    <w:unhideWhenUsed/>
    <w:rsid w:val="00AD7F80"/>
    <w:pPr>
      <w:spacing w:before="100" w:beforeAutospacing="1" w:after="100" w:afterAutospacing="1"/>
      <w:jc w:val="left"/>
    </w:pPr>
    <w:rPr>
      <w:rFonts w:eastAsia="Times New Roman"/>
      <w:sz w:val="24"/>
      <w:szCs w:val="24"/>
    </w:rPr>
  </w:style>
  <w:style w:type="character" w:styleId="Emphasis">
    <w:name w:val="Emphasis"/>
    <w:uiPriority w:val="20"/>
    <w:qFormat/>
    <w:rsid w:val="00AD7F80"/>
    <w:rPr>
      <w:i/>
      <w:iCs/>
    </w:rPr>
  </w:style>
  <w:style w:type="paragraph" w:customStyle="1" w:styleId="JSisfotekBodyText">
    <w:name w:val="JSisfotek_BodyText"/>
    <w:basedOn w:val="BodyText"/>
    <w:rsid w:val="00272545"/>
    <w:pPr>
      <w:jc w:val="left"/>
    </w:pPr>
    <w:rPr>
      <w:rFonts w:eastAsia="MS Mincho"/>
      <w:szCs w:val="24"/>
      <w:lang w:eastAsia="ja-JP"/>
    </w:rPr>
  </w:style>
  <w:style w:type="paragraph" w:customStyle="1" w:styleId="JSisfotekParagraph">
    <w:name w:val="JSisfotek_Paragraph"/>
    <w:basedOn w:val="Normal"/>
    <w:link w:val="JSisfotekParagraphChar"/>
    <w:rsid w:val="00272545"/>
    <w:pPr>
      <w:adjustRightInd w:val="0"/>
      <w:snapToGrid w:val="0"/>
      <w:spacing w:after="0"/>
      <w:ind w:firstLine="216"/>
    </w:pPr>
    <w:rPr>
      <w:rFonts w:eastAsia="SimSun"/>
      <w:sz w:val="24"/>
      <w:szCs w:val="24"/>
      <w:lang w:val="en-AU" w:eastAsia="zh-CN"/>
    </w:rPr>
  </w:style>
  <w:style w:type="character" w:customStyle="1" w:styleId="JSisfotekParagraphChar">
    <w:name w:val="JSisfotek_Paragraph Char"/>
    <w:link w:val="JSisfotekParagraph"/>
    <w:rsid w:val="00272545"/>
    <w:rPr>
      <w:rFonts w:ascii="Times New Roman" w:eastAsia="SimSun" w:hAnsi="Times New Roman"/>
      <w:sz w:val="24"/>
      <w:szCs w:val="24"/>
      <w:lang w:val="en-AU" w:eastAsia="zh-CN"/>
    </w:rPr>
  </w:style>
  <w:style w:type="paragraph" w:customStyle="1" w:styleId="Reference">
    <w:name w:val="Reference"/>
    <w:basedOn w:val="BodyText"/>
    <w:rsid w:val="00D35DCE"/>
    <w:pPr>
      <w:keepNext/>
      <w:tabs>
        <w:tab w:val="right" w:pos="8640"/>
      </w:tabs>
      <w:spacing w:after="0" w:line="480" w:lineRule="auto"/>
      <w:ind w:left="720" w:hanging="720"/>
      <w:jc w:val="left"/>
    </w:pPr>
    <w:rPr>
      <w:rFonts w:eastAsia="Times New Roman"/>
      <w:sz w:val="24"/>
      <w:szCs w:val="24"/>
      <w:lang w:eastAsia="en-US"/>
    </w:rPr>
  </w:style>
  <w:style w:type="character" w:styleId="HTMLTypewriter">
    <w:name w:val="HTML Typewriter"/>
    <w:uiPriority w:val="99"/>
    <w:unhideWhenUsed/>
    <w:rsid w:val="00D35DCE"/>
    <w:rPr>
      <w:rFonts w:ascii="Courier New" w:eastAsia="Times New Roman" w:hAnsi="Courier New" w:cs="Courier New"/>
      <w:sz w:val="20"/>
      <w:szCs w:val="20"/>
    </w:rPr>
  </w:style>
  <w:style w:type="character" w:styleId="PlaceholderText">
    <w:name w:val="Placeholder Text"/>
    <w:basedOn w:val="DefaultParagraphFont"/>
    <w:uiPriority w:val="99"/>
    <w:semiHidden/>
    <w:rsid w:val="005E39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28822">
      <w:bodyDiv w:val="1"/>
      <w:marLeft w:val="0"/>
      <w:marRight w:val="0"/>
      <w:marTop w:val="0"/>
      <w:marBottom w:val="0"/>
      <w:divBdr>
        <w:top w:val="none" w:sz="0" w:space="0" w:color="auto"/>
        <w:left w:val="none" w:sz="0" w:space="0" w:color="auto"/>
        <w:bottom w:val="none" w:sz="0" w:space="0" w:color="auto"/>
        <w:right w:val="none" w:sz="0" w:space="0" w:color="auto"/>
      </w:divBdr>
    </w:div>
    <w:div w:id="749473933">
      <w:bodyDiv w:val="1"/>
      <w:marLeft w:val="0"/>
      <w:marRight w:val="0"/>
      <w:marTop w:val="0"/>
      <w:marBottom w:val="0"/>
      <w:divBdr>
        <w:top w:val="none" w:sz="0" w:space="0" w:color="auto"/>
        <w:left w:val="none" w:sz="0" w:space="0" w:color="auto"/>
        <w:bottom w:val="none" w:sz="0" w:space="0" w:color="auto"/>
        <w:right w:val="none" w:sz="0" w:space="0" w:color="auto"/>
      </w:divBdr>
    </w:div>
    <w:div w:id="819925511">
      <w:bodyDiv w:val="1"/>
      <w:marLeft w:val="0"/>
      <w:marRight w:val="0"/>
      <w:marTop w:val="0"/>
      <w:marBottom w:val="0"/>
      <w:divBdr>
        <w:top w:val="none" w:sz="0" w:space="0" w:color="auto"/>
        <w:left w:val="none" w:sz="0" w:space="0" w:color="auto"/>
        <w:bottom w:val="none" w:sz="0" w:space="0" w:color="auto"/>
        <w:right w:val="none" w:sz="0" w:space="0" w:color="auto"/>
      </w:divBdr>
    </w:div>
    <w:div w:id="937249483">
      <w:bodyDiv w:val="1"/>
      <w:marLeft w:val="0"/>
      <w:marRight w:val="0"/>
      <w:marTop w:val="0"/>
      <w:marBottom w:val="0"/>
      <w:divBdr>
        <w:top w:val="none" w:sz="0" w:space="0" w:color="auto"/>
        <w:left w:val="none" w:sz="0" w:space="0" w:color="auto"/>
        <w:bottom w:val="none" w:sz="0" w:space="0" w:color="auto"/>
        <w:right w:val="none" w:sz="0" w:space="0" w:color="auto"/>
      </w:divBdr>
    </w:div>
    <w:div w:id="1107890550">
      <w:bodyDiv w:val="1"/>
      <w:marLeft w:val="0"/>
      <w:marRight w:val="0"/>
      <w:marTop w:val="0"/>
      <w:marBottom w:val="0"/>
      <w:divBdr>
        <w:top w:val="none" w:sz="0" w:space="0" w:color="auto"/>
        <w:left w:val="none" w:sz="0" w:space="0" w:color="auto"/>
        <w:bottom w:val="none" w:sz="0" w:space="0" w:color="auto"/>
        <w:right w:val="none" w:sz="0" w:space="0" w:color="auto"/>
      </w:divBdr>
    </w:div>
    <w:div w:id="1171721280">
      <w:bodyDiv w:val="1"/>
      <w:marLeft w:val="0"/>
      <w:marRight w:val="0"/>
      <w:marTop w:val="0"/>
      <w:marBottom w:val="0"/>
      <w:divBdr>
        <w:top w:val="none" w:sz="0" w:space="0" w:color="auto"/>
        <w:left w:val="none" w:sz="0" w:space="0" w:color="auto"/>
        <w:bottom w:val="none" w:sz="0" w:space="0" w:color="auto"/>
        <w:right w:val="none" w:sz="0" w:space="0" w:color="auto"/>
      </w:divBdr>
    </w:div>
    <w:div w:id="1671910456">
      <w:bodyDiv w:val="1"/>
      <w:marLeft w:val="0"/>
      <w:marRight w:val="0"/>
      <w:marTop w:val="0"/>
      <w:marBottom w:val="0"/>
      <w:divBdr>
        <w:top w:val="none" w:sz="0" w:space="0" w:color="auto"/>
        <w:left w:val="none" w:sz="0" w:space="0" w:color="auto"/>
        <w:bottom w:val="none" w:sz="0" w:space="0" w:color="auto"/>
        <w:right w:val="none" w:sz="0" w:space="0" w:color="auto"/>
      </w:divBdr>
    </w:div>
    <w:div w:id="1674528621">
      <w:bodyDiv w:val="1"/>
      <w:marLeft w:val="0"/>
      <w:marRight w:val="0"/>
      <w:marTop w:val="0"/>
      <w:marBottom w:val="0"/>
      <w:divBdr>
        <w:top w:val="none" w:sz="0" w:space="0" w:color="auto"/>
        <w:left w:val="none" w:sz="0" w:space="0" w:color="auto"/>
        <w:bottom w:val="none" w:sz="0" w:space="0" w:color="auto"/>
        <w:right w:val="none" w:sz="0" w:space="0" w:color="auto"/>
      </w:divBdr>
    </w:div>
    <w:div w:id="1761024693">
      <w:bodyDiv w:val="1"/>
      <w:marLeft w:val="0"/>
      <w:marRight w:val="0"/>
      <w:marTop w:val="0"/>
      <w:marBottom w:val="0"/>
      <w:divBdr>
        <w:top w:val="none" w:sz="0" w:space="0" w:color="auto"/>
        <w:left w:val="none" w:sz="0" w:space="0" w:color="auto"/>
        <w:bottom w:val="none" w:sz="0" w:space="0" w:color="auto"/>
        <w:right w:val="none" w:sz="0" w:space="0" w:color="auto"/>
      </w:divBdr>
    </w:div>
    <w:div w:id="1794396644">
      <w:bodyDiv w:val="1"/>
      <w:marLeft w:val="0"/>
      <w:marRight w:val="0"/>
      <w:marTop w:val="0"/>
      <w:marBottom w:val="0"/>
      <w:divBdr>
        <w:top w:val="none" w:sz="0" w:space="0" w:color="auto"/>
        <w:left w:val="none" w:sz="0" w:space="0" w:color="auto"/>
        <w:bottom w:val="none" w:sz="0" w:space="0" w:color="auto"/>
        <w:right w:val="none" w:sz="0" w:space="0" w:color="auto"/>
      </w:divBdr>
    </w:div>
    <w:div w:id="19779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4D6E-50DA-4B76-8B54-886A7BA1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16907</Words>
  <Characters>96370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Template_JEMS(ind)</vt:lpstr>
    </vt:vector>
  </TitlesOfParts>
  <Company/>
  <LinksUpToDate>false</LinksUpToDate>
  <CharactersWithSpaces>113051</CharactersWithSpaces>
  <SharedDoc>false</SharedDoc>
  <HLinks>
    <vt:vector size="12" baseType="variant">
      <vt:variant>
        <vt:i4>983127</vt:i4>
      </vt:variant>
      <vt:variant>
        <vt:i4>92</vt:i4>
      </vt:variant>
      <vt:variant>
        <vt:i4>0</vt:i4>
      </vt:variant>
      <vt:variant>
        <vt:i4>5</vt:i4>
      </vt:variant>
      <vt:variant>
        <vt:lpwstr>https://ejournal3.undip.ac.id/index.php/accounting/article/view/40207</vt:lpwstr>
      </vt:variant>
      <vt:variant>
        <vt:lpwstr/>
      </vt:variant>
      <vt:variant>
        <vt:i4>852061</vt:i4>
      </vt:variant>
      <vt:variant>
        <vt:i4>89</vt:i4>
      </vt:variant>
      <vt:variant>
        <vt:i4>0</vt:i4>
      </vt:variant>
      <vt:variant>
        <vt:i4>5</vt:i4>
      </vt:variant>
      <vt:variant>
        <vt:lpwstr>https://ejournal3.undip.ac.id/index.php/accounting/article/view/47850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JEMS(7)3,184-192(110)</dc:title>
  <dc:subject/>
  <dc:creator>Editor_RESTI</dc:creator>
  <cp:keywords>JMRAA</cp:keywords>
  <cp:lastModifiedBy>Arrianda Mardhika</cp:lastModifiedBy>
  <cp:revision>22</cp:revision>
  <cp:lastPrinted>2023-04-28T02:00:00Z</cp:lastPrinted>
  <dcterms:created xsi:type="dcterms:W3CDTF">2025-05-23T15:02:00Z</dcterms:created>
  <dcterms:modified xsi:type="dcterms:W3CDTF">2025-05-28T08:27:00Z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6e1c71a9-28ce-3247-b1ea-ac299559c80c</vt:lpwstr>
  </property>
  <property fmtid="{D5CDD505-2E9C-101B-9397-08002B2CF9AE}" pid="24" name="Mendeley Citation Style_1">
    <vt:lpwstr>http://www.zotero.org/styles/ieee</vt:lpwstr>
  </property>
  <property fmtid="{D5CDD505-2E9C-101B-9397-08002B2CF9AE}" pid="25" name="GrammarlyDocumentId">
    <vt:lpwstr>26112290-5cd1-4890-bb46-afaf6b144fb1</vt:lpwstr>
  </property>
</Properties>
</file>